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ЗАПЧАСТЕЙ ГЛАВНЫХ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ДВИГАТЕЛ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ЕЙ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№AM119/2022 </w:t>
      </w:r>
      <w:bookmarkStart w:id="0" w:name="_GoBack"/>
      <w:bookmarkEnd w:id="0"/>
    </w:p>
    <w:p w:rsidR="00202D94" w:rsidRPr="003F675F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F779A7" w:rsidRPr="00F779A7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25</w:t>
            </w:r>
            <w:r w:rsidRPr="00F779A7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июля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50 (пятьдесят)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F779A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lastRenderedPageBreak/>
                    <w:t>Наименование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3F675F" w:rsidRDefault="00491E74">
                  <w:pPr>
                    <w:rPr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F675F">
                    <w:rPr>
                      <w:rFonts w:ascii="Arial" w:eastAsia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3F675F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b w:val="0"/>
                      <w:i w:val="0"/>
                      <w:sz w:val="22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3F675F" w:rsidRDefault="00491E74">
                  <w:pPr>
                    <w:rPr>
                      <w:rStyle w:val="nwt1"/>
                      <w:rFonts w:ascii="Arial" w:hAnsi="Arial" w:cs="Arial"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3F675F" w:rsidRDefault="00491E74">
                  <w:pPr>
                    <w:rPr>
                      <w:rFonts w:ascii="Arial" w:hAnsi="Arial" w:cs="Arial"/>
                      <w:sz w:val="22"/>
                      <w:szCs w:val="22"/>
                      <w:vertAlign w:val="baseline"/>
                      <w:lang w:val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оставляет за собой право не принимать никаких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недействительных  банковских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 случае если лица, желающие принять участие в конкурсе закупок,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предпочтут  представить</w:t>
            </w:r>
            <w:proofErr w:type="gramEnd"/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Срок исполнения </w:t>
            </w:r>
            <w:proofErr w:type="gramStart"/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контракта :</w:t>
            </w:r>
            <w:proofErr w:type="gramEnd"/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F779A7" w:rsidRPr="00F779A7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04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По юридическим </w:t>
            </w:r>
            <w:proofErr w:type="gramStart"/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вопросам :</w:t>
            </w:r>
            <w:proofErr w:type="gramEnd"/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F779A7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F779A7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) </w:t>
            </w:r>
            <w:r w:rsidR="00F779A7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>05</w:t>
            </w:r>
            <w:r w:rsidR="00F779A7" w:rsidRPr="00F779A7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(два) года опыта работы</w:t>
            </w:r>
            <w:r w:rsidR="00F779A7">
              <w:rPr>
                <w:rFonts w:ascii="Arial" w:eastAsia="Arial" w:hAnsi="Arial" w:cs="Arial"/>
                <w:bCs/>
              </w:rPr>
              <w:t xml:space="preserve"> по </w:t>
            </w:r>
            <w:r w:rsidR="00F779A7" w:rsidRPr="00B76ED0">
              <w:rPr>
                <w:rFonts w:ascii="Arial" w:eastAsia="Arial" w:hAnsi="Arial" w:cs="Arial"/>
                <w:bCs/>
                <w:highlight w:val="yellow"/>
                <w:u w:val="single"/>
              </w:rPr>
              <w:t>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предоставить подтвердительные документы. 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828" w:type="dxa"/>
        <w:tblInd w:w="-878" w:type="dxa"/>
        <w:tblLook w:val="04A0" w:firstRow="1" w:lastRow="0" w:firstColumn="1" w:lastColumn="0" w:noHBand="0" w:noVBand="1"/>
      </w:tblPr>
      <w:tblGrid>
        <w:gridCol w:w="480"/>
        <w:gridCol w:w="3184"/>
        <w:gridCol w:w="2578"/>
        <w:gridCol w:w="1677"/>
        <w:gridCol w:w="1399"/>
        <w:gridCol w:w="1510"/>
      </w:tblGrid>
      <w:tr w:rsidR="00896570" w:rsidRPr="003F675F" w:rsidTr="007C7741">
        <w:trPr>
          <w:trHeight w:hRule="exact" w:val="6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3F675F" w:rsidRDefault="00491E74" w:rsidP="00675330">
            <w:pPr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hAnsi="Arial" w:cs="Arial"/>
                <w:b/>
                <w:bCs/>
                <w:sz w:val="22"/>
                <w:szCs w:val="22"/>
                <w:vertAlign w:val="baseline"/>
                <w:lang w:val="az-Latn-AZ"/>
              </w:rPr>
              <w:lastRenderedPageBreak/>
              <w:t>№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AB28E8" w:rsidRDefault="00491E74" w:rsidP="00675330">
            <w:pPr>
              <w:pStyle w:val="NoSpacing"/>
              <w:rPr>
                <w:rFonts w:ascii="Arial" w:hAnsi="Arial" w:cs="Arial"/>
                <w:b/>
                <w:bCs/>
                <w:lang w:val="az-Latn-AZ"/>
              </w:rPr>
            </w:pPr>
            <w:r w:rsidRPr="00AB28E8">
              <w:rPr>
                <w:rFonts w:ascii="Arial" w:eastAsia="Palatino Linotype" w:hAnsi="Arial" w:cs="Arial"/>
                <w:b/>
                <w:bCs/>
              </w:rPr>
              <w:t>Описание Товаров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Кодирование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41" w:rsidRPr="003F675F" w:rsidRDefault="00491E74" w:rsidP="00675330">
            <w:pPr>
              <w:pStyle w:val="NoSpacing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Количество</w:t>
            </w:r>
          </w:p>
        </w:tc>
      </w:tr>
      <w:tr w:rsidR="00896570" w:rsidRPr="003F675F" w:rsidTr="007C7741">
        <w:trPr>
          <w:trHeight w:hRule="exact" w:val="417"/>
        </w:trPr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Название судна: ШИРВАН-3</w:t>
            </w:r>
          </w:p>
        </w:tc>
      </w:tr>
      <w:tr w:rsidR="00896570" w:rsidRPr="003F675F" w:rsidTr="007C7741">
        <w:trPr>
          <w:trHeight w:hRule="exact" w:val="437"/>
        </w:trPr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bCs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Назначение оборудования: Главные двигатели SULZER 8ASL25/30</w:t>
            </w:r>
          </w:p>
        </w:tc>
      </w:tr>
      <w:tr w:rsidR="00896570" w:rsidRPr="003F675F" w:rsidTr="007C7741">
        <w:trPr>
          <w:trHeight w:hRule="exact" w:val="3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Форсунка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INJECTOR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6</w:t>
            </w:r>
          </w:p>
        </w:tc>
      </w:tr>
      <w:tr w:rsidR="00896570" w:rsidRPr="003F675F" w:rsidTr="007C7741">
        <w:trPr>
          <w:trHeight w:hRule="exact" w:val="2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Сопло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NOZZLE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H-27240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3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3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H-27106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96</w:t>
            </w:r>
          </w:p>
        </w:tc>
      </w:tr>
      <w:tr w:rsidR="00896570" w:rsidRPr="003F675F" w:rsidTr="007C7741">
        <w:trPr>
          <w:trHeight w:hRule="exact" w:val="2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4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H-27224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2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5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Топливопровод Н-27223 с прокладкой</w:t>
            </w: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br/>
              <w:t xml:space="preserve">(Н 27223)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  <w:lang w:val="en-US"/>
              </w:rPr>
              <w:t>FUEL PIPE WITH GASKET H-27223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H-27211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6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Прокладка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GASKET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H-21420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2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7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H-21422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32</w:t>
            </w:r>
          </w:p>
        </w:tc>
      </w:tr>
      <w:tr w:rsidR="00896570" w:rsidRPr="003F675F" w:rsidTr="007C7741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8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Топливопровод  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FUEL PIPE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H-87610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2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Уплотнитель рубашки водяного охлаждения</w:t>
            </w: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br/>
              <w:t xml:space="preserve">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WATER JACKET SEALING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H-21434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64</w:t>
            </w:r>
          </w:p>
        </w:tc>
      </w:tr>
      <w:tr w:rsidR="00896570" w:rsidRPr="003F675F" w:rsidTr="007C7741">
        <w:trPr>
          <w:trHeight w:hRule="exact"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10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Стопорное полукольцо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HALF 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H-12010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пара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5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Мотылевый подшипник (1 ремонтный) с сертификатом Морского Классификационного Общества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  <w:lang w:val="en-US"/>
              </w:rPr>
              <w:t>CONROD BEARING 1-ST REPAIR, with IACS Marine Class certificate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H-33016   0,20    7.54 мм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пара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8</w:t>
            </w:r>
          </w:p>
        </w:tc>
      </w:tr>
      <w:tr w:rsidR="00896570" w:rsidRPr="003F675F" w:rsidTr="007C7741">
        <w:trPr>
          <w:trHeight w:hRule="exact" w:val="5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12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Рамовый подшипник (STD) с сертификатом Морского Классификационного Общества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  <w:lang w:val="en-US"/>
              </w:rPr>
              <w:t>MAIN BEARING STD, with IACS Marine Class certificate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H-12020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пара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9</w:t>
            </w:r>
          </w:p>
        </w:tc>
      </w:tr>
      <w:tr w:rsidR="00896570" w:rsidRPr="003F675F" w:rsidTr="007C7741">
        <w:trPr>
          <w:trHeight w:hRule="exact" w:val="2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13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Защитное покрытие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SECURE COVER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H-87640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8</w:t>
            </w:r>
          </w:p>
        </w:tc>
      </w:tr>
      <w:tr w:rsidR="00896570" w:rsidRPr="003F675F" w:rsidTr="007C7741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14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Топливный насос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FUEL PUMP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H-55000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2</w:t>
            </w:r>
          </w:p>
        </w:tc>
      </w:tr>
      <w:tr w:rsidR="00896570" w:rsidRPr="003F675F" w:rsidTr="007C7741">
        <w:trPr>
          <w:trHeight w:hRule="exact" w:val="3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15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Плунжер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PLUNGER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H-55030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Топливный фильтр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FUEL FILTER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H-87511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100</w:t>
            </w:r>
          </w:p>
        </w:tc>
      </w:tr>
      <w:tr w:rsidR="00896570" w:rsidRPr="003F675F" w:rsidTr="007C7741">
        <w:trPr>
          <w:trHeight w:hRule="exact"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17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Резиновый уплотнитель рубашки водяного охлаждения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WATER JACKET SEALING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H-21423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8</w:t>
            </w:r>
          </w:p>
        </w:tc>
      </w:tr>
      <w:tr w:rsidR="00896570" w:rsidRPr="003F675F" w:rsidTr="007C7741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Резиновое уплотненое кольцо клапанов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VALVE SEAL 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32</w:t>
            </w:r>
          </w:p>
        </w:tc>
      </w:tr>
      <w:tr w:rsidR="00896570" w:rsidRPr="003F675F" w:rsidTr="007C7741">
        <w:trPr>
          <w:trHeight w:hRule="exact" w:val="2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19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Пусковой клапан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MAIN STARTING VALVE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H-27440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6</w:t>
            </w:r>
          </w:p>
        </w:tc>
      </w:tr>
      <w:tr w:rsidR="00896570" w:rsidRPr="003F675F" w:rsidTr="007C7741">
        <w:trPr>
          <w:trHeight w:hRule="exact" w:val="2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20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Уплотнительное резиновое кольцо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SEAL 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H-40071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2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Уплотнительное резиновое кольцо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SEAL 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H-40070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16</w:t>
            </w:r>
          </w:p>
        </w:tc>
      </w:tr>
      <w:tr w:rsidR="00896570" w:rsidRPr="003F675F" w:rsidTr="007C7741">
        <w:trPr>
          <w:trHeight w:hRule="exact" w:val="2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22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Ударный клапан топливного насоса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FUEL PUMP VALVE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H-55054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23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H-55071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12</w:t>
            </w:r>
          </w:p>
        </w:tc>
      </w:tr>
      <w:tr w:rsidR="00896570" w:rsidRPr="003F675F" w:rsidTr="007C7741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H-55103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12</w:t>
            </w:r>
          </w:p>
        </w:tc>
      </w:tr>
      <w:tr w:rsidR="00896570" w:rsidRPr="003F675F" w:rsidTr="007C7741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H-55073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12</w:t>
            </w:r>
          </w:p>
        </w:tc>
      </w:tr>
      <w:tr w:rsidR="00896570" w:rsidRPr="003F675F" w:rsidTr="007C7741">
        <w:trPr>
          <w:trHeight w:hRule="exact" w:val="2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26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Уплотнитель погружного топливного насоса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FUEL PUMP SEALING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H-74140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27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Уплотнитель погружного  топливного насоса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FUEL PUMP SEALING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H-74167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28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O-образное уплотнительное 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O-RING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H-74168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29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Уплотнительное кольцо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SEAL 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H-73126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30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Манжета уплотнительная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SEAL RING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H-73125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  <w:tr w:rsidR="00896570" w:rsidRPr="003F675F" w:rsidTr="007C7741">
        <w:trPr>
          <w:trHeight w:hRule="exact" w:val="2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3F675F" w:rsidRDefault="00491E74" w:rsidP="00675330">
            <w:pPr>
              <w:pStyle w:val="NoSpacing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Palatino Linotype" w:hAnsi="Arial" w:cs="Arial"/>
                <w:b/>
                <w:bCs/>
              </w:rPr>
              <w:t>31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 xml:space="preserve">Уплотнитель вала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SHAFT SEALING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H-73124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Palatino Linotype" w:hAnsi="Arial" w:cs="Arial"/>
                <w:color w:val="000000"/>
                <w:sz w:val="22"/>
                <w:szCs w:val="22"/>
                <w:vertAlign w:val="baseline"/>
              </w:rPr>
              <w:t>шт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41" w:rsidRPr="003F675F" w:rsidRDefault="00491E74" w:rsidP="00675330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3F675F">
              <w:rPr>
                <w:rFonts w:ascii="Arial" w:eastAsia="Palatino Linotype" w:hAnsi="Arial" w:cs="Arial"/>
                <w:sz w:val="22"/>
                <w:szCs w:val="22"/>
                <w:vertAlign w:val="baseline"/>
              </w:rPr>
              <w:t>4</w:t>
            </w:r>
          </w:p>
        </w:tc>
      </w:tr>
    </w:tbl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Pr="003F675F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Самир Амирасланов, Механик - </w:t>
      </w:r>
      <w:proofErr w:type="gramStart"/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наставник  службы</w:t>
      </w:r>
      <w:proofErr w:type="gramEnd"/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Тел.: +99412 4043700 (внутр. 2526)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  </w:t>
      </w:r>
      <w:hyperlink r:id="rId10" w:history="1">
        <w:r w:rsidRPr="003F675F">
          <w:rPr>
            <w:rFonts w:ascii="Arial" w:eastAsia="Arial" w:hAnsi="Arial" w:cs="Arial"/>
            <w:b/>
            <w:bCs/>
            <w:sz w:val="22"/>
            <w:szCs w:val="22"/>
            <w:shd w:val="clear" w:color="auto" w:fill="FAFAFA"/>
            <w:vertAlign w:val="baseline"/>
          </w:rPr>
          <w:t xml:space="preserve"> </w:t>
        </w:r>
        <w:r w:rsidRPr="003F675F">
          <w:rPr>
            <w:rFonts w:ascii="Arial" w:eastAsia="Arial" w:hAnsi="Arial" w:cs="Arial"/>
            <w:b/>
            <w:bCs/>
            <w:color w:val="0563C1"/>
            <w:sz w:val="22"/>
            <w:szCs w:val="22"/>
            <w:shd w:val="clear" w:color="auto" w:fill="FAFAFA"/>
            <w:vertAlign w:val="baseline"/>
          </w:rPr>
          <w:t xml:space="preserve"> </w:t>
        </w:r>
        <w:r w:rsidRPr="003F675F">
          <w:rPr>
            <w:rFonts w:ascii="Arial" w:eastAsia="Arial" w:hAnsi="Arial" w:cs="Arial"/>
            <w:b/>
            <w:bCs/>
            <w:color w:val="0563C1"/>
            <w:sz w:val="22"/>
            <w:szCs w:val="22"/>
            <w:u w:val="single"/>
            <w:shd w:val="clear" w:color="auto" w:fill="FAFAFA"/>
            <w:vertAlign w:val="baseline"/>
          </w:rPr>
          <w:t>Samir.amiraslanov@asco.az</w:t>
        </w:r>
        <w:r w:rsidRPr="003F675F">
          <w:rPr>
            <w:rFonts w:ascii="Arial" w:eastAsia="Arial" w:hAnsi="Arial" w:cs="Arial"/>
            <w:b/>
            <w:bCs/>
            <w:color w:val="0563C1"/>
            <w:sz w:val="22"/>
            <w:szCs w:val="22"/>
            <w:shd w:val="clear" w:color="auto" w:fill="FAFAFA"/>
            <w:vertAlign w:val="baseline"/>
          </w:rPr>
          <w:t xml:space="preserve"> </w:t>
        </w:r>
      </w:hyperlink>
    </w:p>
    <w:p w:rsidR="004044C7" w:rsidRPr="003F675F" w:rsidRDefault="004044C7" w:rsidP="00AB28E8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lastRenderedPageBreak/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</w:t>
      </w:r>
      <w:proofErr w:type="gramStart"/>
      <w:r w:rsidRPr="00AB28E8">
        <w:rPr>
          <w:rFonts w:ascii="Arial" w:eastAsia="Arial" w:hAnsi="Arial" w:cs="Arial"/>
          <w:sz w:val="18"/>
          <w:szCs w:val="18"/>
          <w:vertAlign w:val="baseline"/>
        </w:rPr>
        <w:t>с компаниями</w:t>
      </w:r>
      <w:proofErr w:type="gramEnd"/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2A" w:rsidRDefault="008F022A" w:rsidP="009439ED">
      <w:r>
        <w:separator/>
      </w:r>
    </w:p>
  </w:endnote>
  <w:endnote w:type="continuationSeparator" w:id="0">
    <w:p w:rsidR="008F022A" w:rsidRDefault="008F022A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2A" w:rsidRDefault="008F022A" w:rsidP="009439ED">
      <w:r>
        <w:separator/>
      </w:r>
    </w:p>
  </w:footnote>
  <w:footnote w:type="continuationSeparator" w:id="0">
    <w:p w:rsidR="008F022A" w:rsidRDefault="008F022A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ED" w:rsidRDefault="00943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F3109"/>
    <w:rsid w:val="001148EF"/>
    <w:rsid w:val="00125301"/>
    <w:rsid w:val="001432F7"/>
    <w:rsid w:val="0017643C"/>
    <w:rsid w:val="00200180"/>
    <w:rsid w:val="00202D94"/>
    <w:rsid w:val="00212419"/>
    <w:rsid w:val="00220DA5"/>
    <w:rsid w:val="002948E4"/>
    <w:rsid w:val="002B1F33"/>
    <w:rsid w:val="00383930"/>
    <w:rsid w:val="003F675F"/>
    <w:rsid w:val="004005FF"/>
    <w:rsid w:val="004044C7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8F022A"/>
    <w:rsid w:val="00940B67"/>
    <w:rsid w:val="009439ED"/>
    <w:rsid w:val="00A86A1B"/>
    <w:rsid w:val="00AB28E8"/>
    <w:rsid w:val="00AD45C1"/>
    <w:rsid w:val="00AD74DD"/>
    <w:rsid w:val="00B35EC0"/>
    <w:rsid w:val="00B74669"/>
    <w:rsid w:val="00B87417"/>
    <w:rsid w:val="00BA2C6F"/>
    <w:rsid w:val="00BB5711"/>
    <w:rsid w:val="00BE59EA"/>
    <w:rsid w:val="00BF225F"/>
    <w:rsid w:val="00C101E2"/>
    <w:rsid w:val="00CF609E"/>
    <w:rsid w:val="00D9251A"/>
    <w:rsid w:val="00D97D18"/>
    <w:rsid w:val="00DF7529"/>
    <w:rsid w:val="00E55A5E"/>
    <w:rsid w:val="00E62307"/>
    <w:rsid w:val="00EF6347"/>
    <w:rsid w:val="00F779A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4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mir.amirasl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2022-07-20T08:51:00Z</dcterms:modified>
</cp:coreProperties>
</file>