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B522A3">
        <w:rPr>
          <w:rFonts w:ascii="Arial" w:eastAsia="Arial" w:hAnsi="Arial" w:cs="Arial"/>
          <w:b/>
          <w:sz w:val="20"/>
          <w:szCs w:val="20"/>
          <w:vertAlign w:val="baseline"/>
        </w:rPr>
        <w:t>стей вспомогательных двигателей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для судов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№AM1</w:t>
      </w:r>
      <w:r w:rsidR="00B522A3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77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B522A3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25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224AF7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ок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тября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 (пятьдесят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B522A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F9556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3 ноя</w:t>
            </w:r>
            <w:r w:rsidR="00604B5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3F68E9">
        <w:trPr>
          <w:trHeight w:hRule="exact" w:val="190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F9556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4 ноя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Желающие принять участие во вскрытии конвертов должны предоставить документ, подтверждающий свое участие (соответствующую доверенность, выданную участвующим юридическим или физическим лицом), и удостоверение личности в закупочную организацию не менее чем за полчаса до даты пров</w:t>
            </w:r>
            <w:r w:rsid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едения конкурса.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F92E93" w:rsidRPr="0018123B">
              <w:rPr>
                <w:rFonts w:ascii="Arial" w:eastAsia="Arial" w:hAnsi="Arial" w:cs="Arial"/>
                <w:bCs/>
                <w:sz w:val="20"/>
                <w:u w:val="single"/>
              </w:rPr>
              <w:t>по</w:t>
            </w:r>
            <w:r w:rsidR="00BB1AC8" w:rsidRPr="0018123B">
              <w:rPr>
                <w:rFonts w:ascii="Arial" w:eastAsia="Arial" w:hAnsi="Arial" w:cs="Arial"/>
                <w:bCs/>
                <w:sz w:val="20"/>
                <w:u w:val="single"/>
              </w:rPr>
              <w:t xml:space="preserve"> предмету конкурса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(по поставке запасных частей судовых двигателей</w:t>
            </w:r>
            <w:r w:rsidR="00BB1AC8">
              <w:rPr>
                <w:rFonts w:ascii="Arial" w:eastAsia="Arial" w:hAnsi="Arial" w:cs="Arial"/>
                <w:bCs/>
                <w:sz w:val="20"/>
              </w:rPr>
              <w:t xml:space="preserve"> одинакового типа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)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438"/>
        <w:gridCol w:w="3338"/>
        <w:gridCol w:w="2872"/>
        <w:gridCol w:w="1613"/>
        <w:gridCol w:w="1249"/>
        <w:gridCol w:w="1689"/>
      </w:tblGrid>
      <w:tr w:rsidR="00F9556B" w:rsidRPr="009C16B0" w:rsidTr="00436566">
        <w:trPr>
          <w:trHeight w:hRule="exact" w:val="5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B" w:rsidRPr="009C16B0" w:rsidRDefault="00F9556B" w:rsidP="00436566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r w:rsidRPr="009C16B0"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lastRenderedPageBreak/>
              <w:t>№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B" w:rsidRPr="009C16B0" w:rsidRDefault="00F9556B" w:rsidP="00436566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C16B0" w:rsidRDefault="00F9556B" w:rsidP="00436566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C16B0" w:rsidRDefault="00F9556B" w:rsidP="00436566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Ölçü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vahidi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/Units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56B" w:rsidRPr="009C16B0" w:rsidRDefault="00F9556B" w:rsidP="00436566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Miqdarı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/Quantity</w:t>
            </w:r>
          </w:p>
        </w:tc>
      </w:tr>
      <w:tr w:rsidR="00F9556B" w:rsidRPr="0094407F" w:rsidTr="00436566">
        <w:trPr>
          <w:trHeight w:hRule="exact" w:val="356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4407F" w:rsidRDefault="00F9556B" w:rsidP="00436566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 w:rsidRPr="0052771B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Gə</w:t>
            </w: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mi adı/Vessel name: “Dədə Qorqud”, “Koroğlu” / ”Dede Gorgud”, “Koroglu”</w:t>
            </w:r>
          </w:p>
        </w:tc>
      </w:tr>
      <w:tr w:rsidR="00F9556B" w:rsidRPr="00F9556B" w:rsidTr="00436566">
        <w:trPr>
          <w:trHeight w:hRule="exact" w:val="41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F1160E" w:rsidRDefault="00F9556B" w:rsidP="00436566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>Köməkçi</w:t>
            </w:r>
            <w:r w:rsidRPr="00C914FB"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 mühərrik</w:t>
            </w: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/aux engine: </w:t>
            </w:r>
            <w:r w:rsidRPr="00F1160E">
              <w:rPr>
                <w:rFonts w:ascii="Palatino Linotype" w:hAnsi="Palatino Linotype" w:cs="Arial"/>
                <w:b/>
                <w:szCs w:val="20"/>
                <w:lang w:val="az-Latn-AZ"/>
              </w:rPr>
              <w:t>MAN D2840LE301</w:t>
            </w: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 </w:t>
            </w:r>
            <w:bookmarkStart w:id="0" w:name="_GoBack"/>
            <w:bookmarkEnd w:id="0"/>
          </w:p>
        </w:tc>
      </w:tr>
      <w:tr w:rsidR="00F9556B" w:rsidRPr="009C16B0" w:rsidTr="00436566">
        <w:trPr>
          <w:trHeight w:hRule="exact" w:val="3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C16B0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Dəniz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SEA-WATER PUMP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51.06500-7046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</w:t>
            </w:r>
          </w:p>
        </w:tc>
      </w:tr>
      <w:tr w:rsidR="00F9556B" w:rsidRPr="009C16B0" w:rsidTr="00436566">
        <w:trPr>
          <w:trHeight w:hRule="exact" w:val="2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C16B0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soyuducusu</w:t>
            </w:r>
            <w:proofErr w:type="spellEnd"/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HEAT EXCHANGER ASSY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51.06100-7018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F9556B" w:rsidRPr="009C16B0" w:rsidTr="00436566">
        <w:trPr>
          <w:trHeight w:hRule="exact" w:val="3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C16B0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soyuducusu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seksiyası</w:t>
            </w:r>
            <w:proofErr w:type="spellEnd"/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TUBE BUNDLE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51.06109-0042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F9556B" w:rsidRPr="009C16B0" w:rsidTr="00436566">
        <w:trPr>
          <w:trHeight w:hRule="exact" w:val="3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C16B0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Termostat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soyuducu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COOLANT THERMOSTAT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51.06402-0084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</w:t>
            </w:r>
          </w:p>
        </w:tc>
      </w:tr>
      <w:tr w:rsidR="00F9556B" w:rsidRPr="009C16B0" w:rsidTr="00436566">
        <w:trPr>
          <w:trHeight w:hRule="exact" w:val="3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C16B0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Yağ separatoru/süzgəc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OIL SEPERATOR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51.01804-7032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6</w:t>
            </w:r>
          </w:p>
        </w:tc>
      </w:tr>
      <w:tr w:rsidR="00F9556B" w:rsidRPr="009C16B0" w:rsidTr="00436566">
        <w:trPr>
          <w:trHeight w:hRule="exact" w:val="5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Pr="009C16B0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Çıxış kollektorunun araqatı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GASKET EXHAUST MANIFOLDS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51.08901-0099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100</w:t>
            </w:r>
          </w:p>
        </w:tc>
      </w:tr>
      <w:tr w:rsidR="00F9556B" w:rsidRPr="009C16B0" w:rsidTr="00436566">
        <w:trPr>
          <w:trHeight w:hRule="exact" w:val="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Silindr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qapaqaltı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CYLINDER HEAD GASKET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51.03901-0338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100</w:t>
            </w:r>
          </w:p>
        </w:tc>
      </w:tr>
      <w:tr w:rsidR="00F9556B" w:rsidRPr="009C16B0" w:rsidTr="00436566">
        <w:trPr>
          <w:trHeight w:hRule="exact" w:val="2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Silindr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qapağının</w:t>
            </w:r>
            <w:proofErr w:type="spellEnd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araqatı</w:t>
            </w:r>
            <w:proofErr w:type="spellEnd"/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CYLINDER COVER GASKET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51.03905-0135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100</w:t>
            </w:r>
          </w:p>
        </w:tc>
      </w:tr>
      <w:tr w:rsidR="00F9556B" w:rsidRPr="009C16B0" w:rsidTr="00436566">
        <w:trPr>
          <w:trHeight w:hRule="exact" w:val="28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6B" w:rsidRDefault="00F9556B" w:rsidP="00436566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Giriş kollektorunun araqatı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F1160E" w:rsidRDefault="00F9556B" w:rsidP="00436566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1160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GASKET INTAKE MANIFOLDS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9C16B0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51.08902-0161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B" w:rsidRPr="00567CC8" w:rsidRDefault="00F9556B" w:rsidP="0043656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B" w:rsidRPr="009C16B0" w:rsidRDefault="00F9556B" w:rsidP="0043656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C16B0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100</w:t>
            </w:r>
          </w:p>
        </w:tc>
      </w:tr>
    </w:tbl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>Захид</w:t>
      </w:r>
      <w:proofErr w:type="spellEnd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>Атайев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/ 2183</w:t>
      </w:r>
    </w:p>
    <w:p w:rsidR="004044C7" w:rsidRPr="00272552" w:rsidRDefault="00272552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1A3E0C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zahid.atayev@asco.az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72552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</w:t>
      </w:r>
      <w:proofErr w:type="gramStart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процедуры 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07" w:rsidRDefault="00681E07" w:rsidP="009439ED">
      <w:r>
        <w:separator/>
      </w:r>
    </w:p>
  </w:endnote>
  <w:endnote w:type="continuationSeparator" w:id="0">
    <w:p w:rsidR="00681E07" w:rsidRDefault="00681E07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07" w:rsidRDefault="00681E07" w:rsidP="009439ED">
      <w:r>
        <w:separator/>
      </w:r>
    </w:p>
  </w:footnote>
  <w:footnote w:type="continuationSeparator" w:id="0">
    <w:p w:rsidR="00681E07" w:rsidRDefault="00681E07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6018C"/>
    <w:rsid w:val="00675330"/>
    <w:rsid w:val="00681E07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F609E"/>
    <w:rsid w:val="00CF6DB5"/>
    <w:rsid w:val="00D45F6C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92E93"/>
    <w:rsid w:val="00F9556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83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hid.at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2022-10-13T15:14:00Z</dcterms:modified>
</cp:coreProperties>
</file>