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65AB47C7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AA4FF9">
        <w:rPr>
          <w:rFonts w:ascii="Arial" w:hAnsi="Arial" w:cs="Arial"/>
          <w:b/>
          <w:sz w:val="24"/>
          <w:szCs w:val="24"/>
          <w:lang w:val="az-Latn-AZ" w:eastAsia="ru-RU"/>
        </w:rPr>
        <w:t>5</w:t>
      </w:r>
      <w:r w:rsidR="00335809">
        <w:rPr>
          <w:rFonts w:ascii="Arial" w:hAnsi="Arial" w:cs="Arial"/>
          <w:b/>
          <w:sz w:val="24"/>
          <w:szCs w:val="24"/>
          <w:lang w:val="az-Latn-AZ" w:eastAsia="ru-RU"/>
        </w:rPr>
        <w:t>5</w:t>
      </w:r>
      <w:bookmarkStart w:id="1" w:name="_GoBack"/>
      <w:bookmarkEnd w:id="1"/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335809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21A70783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A4FF9" w:rsidRP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07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mart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335809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DF6943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AA4FF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10</w:t>
            </w:r>
            <w:r w:rsidR="00E2217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335809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335809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30DB6CC6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2979D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mart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335809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335809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2B15A001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2979D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A4FF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mart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335809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6D70EFE" w14:textId="77777777" w:rsidR="00AA4FF9" w:rsidRPr="00923D30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933"/>
        <w:gridCol w:w="1843"/>
        <w:gridCol w:w="567"/>
        <w:gridCol w:w="1277"/>
      </w:tblGrid>
      <w:tr w:rsidR="00AA4FF9" w:rsidRPr="009F1FAC" w14:paraId="307C095A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14:paraId="0D479518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E2F82C7" w14:textId="77777777" w:rsidR="00AA4FF9" w:rsidRPr="009F1FAC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Malın adı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B8C397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Kod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E3453A4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Sayı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3879A7F9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Ölçü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vahidi</w:t>
            </w:r>
            <w:proofErr w:type="spellEnd"/>
          </w:p>
        </w:tc>
      </w:tr>
      <w:tr w:rsidR="00AA4FF9" w:rsidRPr="009F1FAC" w14:paraId="762128EA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14:paraId="217F7E9D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9F1FAC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3291A5D" w14:textId="5AD77CA2" w:rsidR="00AA4FF9" w:rsidRPr="00031EE2" w:rsidRDefault="0037339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Doppler </w:t>
            </w:r>
            <w:proofErr w:type="spellStart"/>
            <w:r w:rsidR="00AA4FF9"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Laq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ı</w:t>
            </w:r>
            <w:proofErr w:type="spellEnd"/>
            <w:r w:rsidR="00AA4FF9"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/ Doppler speed log DS-85 </w:t>
            </w:r>
          </w:p>
          <w:p w14:paraId="4AE526A5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including: </w:t>
            </w:r>
          </w:p>
          <w:p w14:paraId="54085F02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1093450000 Display Unit (DS-8500). </w:t>
            </w:r>
          </w:p>
          <w:p w14:paraId="6031AC1D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LAN   interface (IEC61162-450), </w:t>
            </w:r>
          </w:p>
          <w:p w14:paraId="6CA4ACF3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Distributor Unit (DS-8510-2-E);  </w:t>
            </w:r>
          </w:p>
          <w:p w14:paraId="048BCD02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Transceiver Unit (DS- 8520); </w:t>
            </w:r>
          </w:p>
          <w:p w14:paraId="02447A68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110-115/200-230V AC. </w:t>
            </w:r>
          </w:p>
          <w:p w14:paraId="18188F7F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1093450300 DS-8530/30M Transducer </w:t>
            </w:r>
          </w:p>
          <w:p w14:paraId="0145B8F6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1093462180 DS-786 Gate Valve</w:t>
            </w:r>
          </w:p>
          <w:p w14:paraId="6AD553DC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Installation material, accessories, spares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FF1C5B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 w:rsidRPr="00BB65AD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DS-8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F90A0" w14:textId="44ED868B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8BFB22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AA4FF9" w:rsidRPr="00BB65AD" w14:paraId="5CC3505A" w14:textId="77777777" w:rsidTr="00AA4FF9">
        <w:trPr>
          <w:trHeight w:val="297"/>
        </w:trPr>
        <w:tc>
          <w:tcPr>
            <w:tcW w:w="441" w:type="dxa"/>
            <w:shd w:val="clear" w:color="auto" w:fill="auto"/>
            <w:vAlign w:val="center"/>
            <w:hideMark/>
          </w:tcPr>
          <w:p w14:paraId="712B8C3F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9F1FAC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EB034D0" w14:textId="77777777" w:rsidR="00AA4FF9" w:rsidRPr="00031EE2" w:rsidRDefault="00AA4FF9" w:rsidP="001E6CA8">
            <w:pPr>
              <w:spacing w:after="0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AIS (Automatic Identification system) FA-170/GPA-017S/MIK, AIS including:</w:t>
            </w:r>
          </w:p>
          <w:p w14:paraId="38E6E701" w14:textId="77777777" w:rsidR="00AA4FF9" w:rsidRPr="00031EE2" w:rsidRDefault="00AA4FF9" w:rsidP="001E6CA8">
            <w:pPr>
              <w:spacing w:after="0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Control unit/monitor w/4.3” color LCD display (WQVGA 480x272 dots) FA-1702, UAIS transponder unit FA-1701, GPS antenna GPA017S, 5-meter </w:t>
            </w: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assy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cable (between transponder and monitor) 12-24 VDC. </w:t>
            </w: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Aantenna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AV-7 (1 pc) and connector PL-259 (4 pcs), cable RG- 58 (30 meter).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38EA3B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 w:rsidRPr="00BB65AD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FA-170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E9D3E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633C20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də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st</w:t>
            </w:r>
            <w:proofErr w:type="spellEnd"/>
          </w:p>
        </w:tc>
      </w:tr>
      <w:tr w:rsidR="00AA4FF9" w:rsidRPr="00985A4C" w14:paraId="191BAB32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14:paraId="4BEE7E5C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9F1FAC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7727E52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NX-700-A\LEES CBL </w:t>
            </w:r>
          </w:p>
          <w:p w14:paraId="1E64BCAC" w14:textId="77777777" w:rsidR="00AA4FF9" w:rsidRPr="00031EE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Navtex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Receiver Dual </w:t>
            </w: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Freq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(518 </w:t>
            </w:r>
            <w:proofErr w:type="spellStart"/>
            <w:proofErr w:type="gram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khz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)</w:t>
            </w:r>
            <w:proofErr w:type="gram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and  1ch.  (490 </w:t>
            </w: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khz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or 4209.5 </w:t>
            </w:r>
            <w:proofErr w:type="spellStart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khz</w:t>
            </w:r>
            <w:proofErr w:type="spellEnd"/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), including, printer, LCD Display (NX-700A) (1 pc.), receiver ( NX-7001-AA-E) (1 pc.), antenna (NX-7H (1 pc.), antenna cable (04S4168 ) 20 m (1 pc.)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A6E4C2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NX-700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2AAE3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829A16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də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st</w:t>
            </w:r>
            <w:proofErr w:type="spellEnd"/>
          </w:p>
        </w:tc>
      </w:tr>
      <w:tr w:rsidR="00AA4FF9" w:rsidRPr="00985A4C" w14:paraId="606FF09B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14:paraId="55834C4B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9F1FAC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912BCC1" w14:textId="77777777" w:rsidR="00AA4FF9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985A4C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Radar FAR-2218 X-band</w:t>
            </w:r>
          </w:p>
          <w:p w14:paraId="4EDFF3FB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Radar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FAR-2218-BB/PM/A</w:t>
            </w:r>
          </w:p>
          <w:p w14:paraId="009FC30C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Hi-res. </w:t>
            </w: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Blackbox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Color Radar with Automatic Clutter Elimination function (ACE), Fast Target</w:t>
            </w:r>
          </w:p>
          <w:p w14:paraId="0C0A5531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Tracking function and Instant Access Bar; 12 kW X-band Transceiver; 1/8 to 96 NM range scale;</w:t>
            </w:r>
          </w:p>
          <w:p w14:paraId="0372E444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incl. Ant. Gear Box/Transceiver Unit (RSB-128-105N), RPM 24 or 42, PERFORMANCE</w:t>
            </w:r>
          </w:p>
          <w:p w14:paraId="69ABAACD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MONITOR, Control Unit (RCU-014B-E-S) with 10 m cable, Processor Unit (RPU-025-AE2S-S),</w:t>
            </w:r>
          </w:p>
          <w:p w14:paraId="79C47577" w14:textId="3C72D88A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Installation material. </w:t>
            </w:r>
            <w:r w:rsidR="00373399"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excl. radiator </w:t>
            </w: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and </w:t>
            </w:r>
            <w:r w:rsidR="00373399"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antenna cable</w:t>
            </w: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; 100-230 V AC for Processor,</w:t>
            </w:r>
          </w:p>
          <w:p w14:paraId="00DB4979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100-115/220-230 V AC for Antenna Gear Box, 50/60 Hz single phase.</w:t>
            </w:r>
          </w:p>
          <w:p w14:paraId="779E6884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/ XN-24-CF 8' (2597 mm) X-Band Antenna (0.95 degrees) (Radiator) for FAR-2xx8/FAR-3xx0 Radar Series.</w:t>
            </w:r>
          </w:p>
          <w:p w14:paraId="131C8DB0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kabel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/ RW-00135-L50M</w:t>
            </w:r>
          </w:p>
          <w:p w14:paraId="49745002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Antenna cable RW-00135-L50M for FAR-2xx8/FAR-3xx0 Radar Series, 50 M.</w:t>
            </w:r>
          </w:p>
          <w:p w14:paraId="0E2E49FA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Display / MU-190/MIC</w:t>
            </w:r>
          </w:p>
          <w:p w14:paraId="20D8A8DB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19" FURUNO LCD Marine Display (MU-190-E) landscape with high brightness (450 cd); SXGA (1280x1024) resolution; built-in scaler: VGA to SXGA; inputs: 1 x RGB+2 x DVI+1 x NTSC/PAL;</w:t>
            </w:r>
          </w:p>
          <w:p w14:paraId="32D29368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waterproofing IP22; picture-in-picture and automatic dimming function; INCL. flush mount panel kit for fixing at front; 100-230 V AC.</w:t>
            </w:r>
          </w:p>
          <w:p w14:paraId="536DB8F3" w14:textId="77777777" w:rsidR="00AA4FF9" w:rsidRPr="00DB6333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Bərkidici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/ OP26-21 BRACKET/MU-190</w:t>
            </w:r>
          </w:p>
          <w:p w14:paraId="335D16A6" w14:textId="77777777" w:rsidR="00AA4FF9" w:rsidRPr="009F1FAC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lastRenderedPageBreak/>
              <w:t xml:space="preserve">Robust Bracket Assembly for Desktop mtg. of </w:t>
            </w:r>
            <w:proofErr w:type="spellStart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Furuno</w:t>
            </w:r>
            <w:proofErr w:type="spellEnd"/>
            <w:r w:rsidRPr="00527AB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MU-190HD/DC and MU-190/AC Displays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3AA604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 w:rsidRPr="00AC3607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lastRenderedPageBreak/>
              <w:t>FAR-2218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F946A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ED5963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AA4FF9" w:rsidRPr="007B5AC9" w14:paraId="5A6C9F25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14:paraId="416E5BE6" w14:textId="77777777" w:rsidR="00AA4FF9" w:rsidRPr="009F1FAC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41433C0D" w14:textId="1CE9F6D5" w:rsidR="00AA4FF9" w:rsidRPr="00985A4C" w:rsidRDefault="00AA4FF9" w:rsidP="0037339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236A9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UQD </w:t>
            </w:r>
            <w:proofErr w:type="spellStart"/>
            <w:r w:rsidRPr="00236A9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radiostansiya</w:t>
            </w:r>
            <w:proofErr w:type="spellEnd"/>
            <w:r w:rsidRPr="00236A9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7B5AC9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FM-8900S Fixed Marine VHF SIMPLEX/Semi-Duplex radio; 25/1 W; easy to read 4.3" bright color display,  built-in DSC and CH-70 Watch keeping receiver, output for printer and VDR/S-VDR (via IF-8900) incl. Transceiver Unit (FM-8900S-A-E), handset (HS-2003-15) with 1.5 m curled cable and handset cradle (FP05-05510); 24V DC.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63909E" w14:textId="77777777" w:rsidR="00AA4FF9" w:rsidRPr="00AC3607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 w:rsidRPr="007B5AC9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FM-8900S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FEBB1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F1CD88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AA4FF9" w:rsidRPr="007B5AC9" w14:paraId="2F4272D1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14:paraId="14223E3D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0BA5DF1" w14:textId="77777777" w:rsidR="00AA4FF9" w:rsidRPr="00236A9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Ehtiyat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antenna / Spare</w:t>
            </w: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antenna AV-7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B28760" w14:textId="77777777" w:rsidR="00AA4FF9" w:rsidRPr="007B5AC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AV-7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0106B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82B418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ədəd</w:t>
            </w:r>
          </w:p>
        </w:tc>
      </w:tr>
      <w:tr w:rsidR="00AA4FF9" w:rsidRPr="007B5AC9" w14:paraId="1C917B71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14:paraId="233B7FF6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CA8D782" w14:textId="77777777" w:rsidR="00AA4FF9" w:rsidRPr="00236A9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Ehtiyat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antenna / Spare</w:t>
            </w:r>
            <w:r w:rsidRPr="00031EE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 xml:space="preserve"> antenna CX-4-1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607995" w14:textId="77777777" w:rsidR="00AA4FF9" w:rsidRPr="007B5AC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985A4C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CX-4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51D6C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E69F56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ədəd</w:t>
            </w:r>
          </w:p>
        </w:tc>
      </w:tr>
      <w:tr w:rsidR="00AA4FF9" w:rsidRPr="007B5AC9" w14:paraId="24BBE68C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14:paraId="143961DD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786C2905" w14:textId="77777777" w:rsidR="00AA4FF9" w:rsidRPr="00236A9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Birləşdirici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031EE2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Connector </w:t>
            </w:r>
            <w:r w:rsidRPr="00031EE2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PL-259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6EA32E" w14:textId="77777777" w:rsidR="00AA4FF9" w:rsidRPr="007B5AC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1404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PL-259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715C4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8AFC49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ədəd</w:t>
            </w:r>
          </w:p>
        </w:tc>
      </w:tr>
      <w:tr w:rsidR="00AA4FF9" w:rsidRPr="007B5AC9" w14:paraId="367A594F" w14:textId="77777777" w:rsidTr="00AA4FF9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14:paraId="5788427A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16B3650" w14:textId="77777777" w:rsidR="00AA4FF9" w:rsidRPr="00236A92" w:rsidRDefault="00AA4FF9" w:rsidP="001E6CA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Birləşdirici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031EE2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Connector</w:t>
            </w:r>
            <w:r w:rsidRPr="00031EE2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N-T</w:t>
            </w:r>
            <w:proofErr w:type="spellStart"/>
            <w:r w:rsidRPr="00031EE2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ype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0F556F" w14:textId="77777777" w:rsidR="00AA4FF9" w:rsidRPr="007B5AC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51404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N-T</w:t>
            </w:r>
            <w:proofErr w:type="spellStart"/>
            <w:r w:rsidRPr="0051404D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ype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C4D49E8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19272A" w14:textId="77777777" w:rsidR="00AA4FF9" w:rsidRDefault="00AA4FF9" w:rsidP="001E6C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az-Latn-AZ"/>
              </w:rPr>
              <w:t>ədəd</w:t>
            </w:r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6DF7-89FA-4A7F-BFCF-EDA414B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5</cp:revision>
  <dcterms:created xsi:type="dcterms:W3CDTF">2022-01-17T13:24:00Z</dcterms:created>
  <dcterms:modified xsi:type="dcterms:W3CDTF">2022-02-28T13:09:00Z</dcterms:modified>
</cp:coreProperties>
</file>