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0DE81FB" w:rsidR="00AE5082" w:rsidRPr="007555CA" w:rsidRDefault="00220CDD" w:rsidP="007555CA">
      <w:pPr>
        <w:pStyle w:val="NoSpacing"/>
        <w:jc w:val="both"/>
        <w:rPr>
          <w:rFonts w:ascii="Arial" w:hAnsi="Arial" w:cs="Arial"/>
          <w:b/>
          <w:sz w:val="24"/>
          <w:szCs w:val="24"/>
          <w:lang w:val="az-Latn-AZ"/>
        </w:rPr>
      </w:pPr>
      <w:r w:rsidRPr="00220CDD">
        <w:rPr>
          <w:rFonts w:ascii="Arial" w:hAnsi="Arial" w:cs="Arial"/>
          <w:b/>
          <w:lang w:val="az-Latn-AZ"/>
        </w:rPr>
        <w:t xml:space="preserve">“Azərbaycan Xəzər Dəniz Gəmiçiliyi” Qapalı Səhmdar Cəmiyyətinin struktur idarələrinə tələb olunan </w:t>
      </w:r>
      <w:r w:rsidRPr="00220CDD">
        <w:rPr>
          <w:rFonts w:ascii="Arial" w:hAnsi="Arial" w:cs="Arial"/>
          <w:b/>
          <w:sz w:val="24"/>
          <w:szCs w:val="24"/>
          <w:lang w:val="az-Latn-AZ"/>
        </w:rPr>
        <w:t>Yanacaq, yağ sayqaclarının təmiri, kalibrlənməsi və möhürlənməsi işlərinin</w:t>
      </w:r>
      <w:r>
        <w:rPr>
          <w:rFonts w:ascii="Arial" w:hAnsi="Arial" w:cs="Arial"/>
          <w:sz w:val="24"/>
          <w:szCs w:val="24"/>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611C8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20CDD">
        <w:rPr>
          <w:rFonts w:ascii="Arial" w:hAnsi="Arial" w:cs="Arial"/>
          <w:b/>
          <w:sz w:val="24"/>
          <w:szCs w:val="24"/>
          <w:lang w:val="az-Latn-AZ" w:eastAsia="ru-RU"/>
        </w:rPr>
        <w:t>AM150/2023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321B2"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3C5D4B4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1321B2">
              <w:rPr>
                <w:rFonts w:ascii="Arial" w:hAnsi="Arial" w:cs="Arial"/>
                <w:b/>
                <w:sz w:val="20"/>
                <w:szCs w:val="20"/>
                <w:highlight w:val="yellow"/>
                <w:lang w:val="az-Latn-AZ" w:eastAsia="ru-RU"/>
              </w:rPr>
              <w:t>30</w:t>
            </w:r>
            <w:r w:rsidR="003352F2"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C77C98"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321B2"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9DD22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7065D">
              <w:rPr>
                <w:rFonts w:ascii="Arial" w:hAnsi="Arial" w:cs="Arial"/>
                <w:b/>
                <w:sz w:val="20"/>
                <w:szCs w:val="20"/>
                <w:lang w:val="az-Latn-AZ" w:eastAsia="ru-RU"/>
              </w:rPr>
              <w:t>Bütün Lotlar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321B2"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1321B2"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E9FC07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321B2">
              <w:rPr>
                <w:rFonts w:ascii="Arial" w:hAnsi="Arial" w:cs="Arial"/>
                <w:b/>
                <w:bCs/>
                <w:sz w:val="20"/>
                <w:szCs w:val="20"/>
                <w:highlight w:val="yellow"/>
                <w:lang w:val="az-Latn-AZ" w:eastAsia="ru-RU"/>
              </w:rPr>
              <w:t>11</w:t>
            </w:r>
            <w:r w:rsidR="00563C5D" w:rsidRPr="00C77C98">
              <w:rPr>
                <w:rFonts w:ascii="Arial" w:hAnsi="Arial" w:cs="Arial"/>
                <w:b/>
                <w:bCs/>
                <w:sz w:val="20"/>
                <w:szCs w:val="20"/>
                <w:highlight w:val="yellow"/>
                <w:lang w:val="az-Latn-AZ" w:eastAsia="ru-RU"/>
              </w:rPr>
              <w:t xml:space="preserve"> </w:t>
            </w:r>
            <w:r w:rsidR="001321B2">
              <w:rPr>
                <w:rFonts w:ascii="Arial" w:hAnsi="Arial" w:cs="Arial"/>
                <w:b/>
                <w:bCs/>
                <w:sz w:val="20"/>
                <w:szCs w:val="20"/>
                <w:highlight w:val="yellow"/>
                <w:lang w:val="az-Latn-AZ" w:eastAsia="ru-RU"/>
              </w:rPr>
              <w:t>Yanvar</w:t>
            </w:r>
            <w:r w:rsidR="007555CA" w:rsidRPr="00C77C98">
              <w:rPr>
                <w:rFonts w:ascii="Arial" w:hAnsi="Arial" w:cs="Arial"/>
                <w:b/>
                <w:bCs/>
                <w:sz w:val="20"/>
                <w:szCs w:val="20"/>
                <w:highlight w:val="yellow"/>
                <w:lang w:val="az-Latn-AZ" w:eastAsia="ru-RU"/>
              </w:rPr>
              <w:t xml:space="preserve"> </w:t>
            </w:r>
            <w:r w:rsidR="001321B2">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321B2"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321B2">
              <w:fldChar w:fldCharType="begin"/>
            </w:r>
            <w:r w:rsidR="001321B2" w:rsidRPr="001321B2">
              <w:rPr>
                <w:lang w:val="en-US"/>
              </w:rPr>
              <w:instrText xml:space="preserve"> HYPERLINK "mailto:tender@asco.az" </w:instrText>
            </w:r>
            <w:r w:rsidR="001321B2">
              <w:fldChar w:fldCharType="separate"/>
            </w:r>
            <w:r w:rsidR="00A52307" w:rsidRPr="001A678A">
              <w:rPr>
                <w:rStyle w:val="Hyperlink"/>
                <w:rFonts w:ascii="Arial" w:hAnsi="Arial" w:cs="Arial"/>
                <w:sz w:val="20"/>
                <w:szCs w:val="20"/>
                <w:lang w:val="az-Latn-AZ"/>
              </w:rPr>
              <w:t>tender@asco.az</w:t>
            </w:r>
            <w:r w:rsidR="001321B2">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321B2"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4499B66D"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321B2">
              <w:rPr>
                <w:rFonts w:ascii="Arial" w:hAnsi="Arial" w:cs="Arial"/>
                <w:b/>
                <w:sz w:val="20"/>
                <w:szCs w:val="20"/>
                <w:highlight w:val="yellow"/>
                <w:lang w:val="az-Latn-AZ" w:eastAsia="ru-RU"/>
              </w:rPr>
              <w:t>12</w:t>
            </w:r>
            <w:bookmarkStart w:id="0" w:name="_GoBack"/>
            <w:bookmarkEnd w:id="0"/>
            <w:r w:rsidR="007555CA" w:rsidRPr="00B712B8">
              <w:rPr>
                <w:rFonts w:ascii="Arial" w:hAnsi="Arial" w:cs="Arial"/>
                <w:b/>
                <w:sz w:val="20"/>
                <w:szCs w:val="20"/>
                <w:highlight w:val="yellow"/>
                <w:lang w:val="az-Latn-AZ" w:eastAsia="ru-RU"/>
              </w:rPr>
              <w:t xml:space="preserve"> </w:t>
            </w:r>
            <w:r w:rsidR="001321B2">
              <w:rPr>
                <w:rFonts w:ascii="Arial" w:hAnsi="Arial" w:cs="Arial"/>
                <w:b/>
                <w:sz w:val="20"/>
                <w:szCs w:val="20"/>
                <w:highlight w:val="yellow"/>
                <w:lang w:val="az-Latn-AZ" w:eastAsia="ru-RU"/>
              </w:rPr>
              <w:t>Yanvar</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1321B2">
              <w:rPr>
                <w:rFonts w:ascii="Arial" w:hAnsi="Arial" w:cs="Arial"/>
                <w:b/>
                <w:sz w:val="20"/>
                <w:szCs w:val="20"/>
                <w:highlight w:val="yellow"/>
                <w:lang w:val="az-Latn-AZ" w:eastAsia="ru-RU"/>
              </w:rPr>
              <w:t>24</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321B2"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1CEC7081" w14:textId="77777777" w:rsidR="00220CDD" w:rsidRDefault="00220CDD" w:rsidP="00993E0B">
      <w:pPr>
        <w:rPr>
          <w:rFonts w:ascii="Arial" w:hAnsi="Arial" w:cs="Arial"/>
          <w:sz w:val="24"/>
          <w:szCs w:val="24"/>
          <w:lang w:val="az-Latn-AZ"/>
        </w:rPr>
      </w:pPr>
    </w:p>
    <w:p w14:paraId="33D940EF" w14:textId="4988F17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30"/>
        <w:gridCol w:w="2572"/>
        <w:gridCol w:w="871"/>
        <w:gridCol w:w="1170"/>
        <w:gridCol w:w="1170"/>
        <w:gridCol w:w="1170"/>
      </w:tblGrid>
      <w:tr w:rsidR="00220CDD" w:rsidRPr="00203DB6" w14:paraId="492655B4" w14:textId="77777777" w:rsidTr="00ED4FB8">
        <w:tc>
          <w:tcPr>
            <w:tcW w:w="550" w:type="dxa"/>
            <w:tcBorders>
              <w:top w:val="single" w:sz="4" w:space="0" w:color="auto"/>
              <w:left w:val="single" w:sz="4" w:space="0" w:color="auto"/>
              <w:bottom w:val="single" w:sz="4" w:space="0" w:color="auto"/>
              <w:right w:val="single" w:sz="4" w:space="0" w:color="auto"/>
            </w:tcBorders>
          </w:tcPr>
          <w:p w14:paraId="1981A41D" w14:textId="77777777" w:rsidR="00220CDD" w:rsidRPr="00203DB6" w:rsidRDefault="00220CDD" w:rsidP="00ED4FB8">
            <w:pPr>
              <w:spacing w:line="360" w:lineRule="auto"/>
              <w:ind w:hanging="270"/>
              <w:jc w:val="center"/>
              <w:rPr>
                <w:rFonts w:ascii="Palatino Linotype" w:eastAsia="MS Mincho" w:hAnsi="Palatino Linotype" w:cs="Arial"/>
                <w:lang w:val="az-Latn-AZ"/>
              </w:rPr>
            </w:pPr>
            <w:r w:rsidRPr="00203DB6">
              <w:rPr>
                <w:rFonts w:ascii="Palatino Linotype" w:eastAsia="MS Mincho" w:hAnsi="Palatino Linotype" w:cs="Arial"/>
                <w:lang w:val="az-Latn-AZ"/>
              </w:rPr>
              <w:t>s\s</w:t>
            </w:r>
          </w:p>
        </w:tc>
        <w:tc>
          <w:tcPr>
            <w:tcW w:w="2230" w:type="dxa"/>
            <w:tcBorders>
              <w:top w:val="single" w:sz="4" w:space="0" w:color="auto"/>
              <w:left w:val="single" w:sz="4" w:space="0" w:color="auto"/>
              <w:bottom w:val="single" w:sz="4" w:space="0" w:color="auto"/>
              <w:right w:val="single" w:sz="4" w:space="0" w:color="auto"/>
            </w:tcBorders>
          </w:tcPr>
          <w:p w14:paraId="1D81BD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Sayqacların adı</w:t>
            </w:r>
          </w:p>
        </w:tc>
        <w:tc>
          <w:tcPr>
            <w:tcW w:w="2572" w:type="dxa"/>
            <w:tcBorders>
              <w:top w:val="single" w:sz="4" w:space="0" w:color="auto"/>
              <w:left w:val="single" w:sz="4" w:space="0" w:color="auto"/>
              <w:bottom w:val="single" w:sz="4" w:space="0" w:color="auto"/>
              <w:right w:val="single" w:sz="4" w:space="0" w:color="auto"/>
            </w:tcBorders>
          </w:tcPr>
          <w:p w14:paraId="1556B18D" w14:textId="77777777" w:rsidR="00220CDD" w:rsidRPr="00203DB6" w:rsidRDefault="00220CDD" w:rsidP="00ED4FB8">
            <w:pPr>
              <w:spacing w:line="360" w:lineRule="auto"/>
              <w:jc w:val="center"/>
              <w:rPr>
                <w:rFonts w:ascii="Palatino Linotype" w:hAnsi="Palatino Linotype" w:cs="Arial"/>
              </w:rPr>
            </w:pPr>
            <w:r w:rsidRPr="00203DB6">
              <w:rPr>
                <w:rFonts w:ascii="Palatino Linotype" w:hAnsi="Palatino Linotype" w:cs="Arial"/>
              </w:rPr>
              <w:t>Tipi</w:t>
            </w:r>
          </w:p>
        </w:tc>
        <w:tc>
          <w:tcPr>
            <w:tcW w:w="871" w:type="dxa"/>
            <w:tcBorders>
              <w:top w:val="single" w:sz="4" w:space="0" w:color="auto"/>
              <w:left w:val="single" w:sz="4" w:space="0" w:color="auto"/>
              <w:bottom w:val="single" w:sz="4" w:space="0" w:color="auto"/>
              <w:right w:val="single" w:sz="4" w:space="0" w:color="auto"/>
            </w:tcBorders>
          </w:tcPr>
          <w:p w14:paraId="39E632EF" w14:textId="77777777" w:rsidR="00220CDD" w:rsidRPr="00203DB6" w:rsidRDefault="00220CDD" w:rsidP="00ED4FB8">
            <w:pPr>
              <w:rPr>
                <w:rFonts w:ascii="Palatino Linotype" w:eastAsia="MS Mincho" w:hAnsi="Palatino Linotype" w:cs="Arial"/>
                <w:lang w:val="az-Latn-AZ"/>
              </w:rPr>
            </w:pPr>
            <w:r w:rsidRPr="00203DB6">
              <w:rPr>
                <w:rFonts w:ascii="Palatino Linotype" w:eastAsia="MS Mincho" w:hAnsi="Palatino Linotype" w:cs="Arial"/>
                <w:lang w:val="az-Latn-AZ"/>
              </w:rPr>
              <w:t>Ölçü vahidi</w:t>
            </w:r>
          </w:p>
        </w:tc>
        <w:tc>
          <w:tcPr>
            <w:tcW w:w="1170" w:type="dxa"/>
            <w:tcBorders>
              <w:top w:val="single" w:sz="4" w:space="0" w:color="auto"/>
              <w:left w:val="single" w:sz="4" w:space="0" w:color="auto"/>
              <w:bottom w:val="single" w:sz="4" w:space="0" w:color="auto"/>
              <w:right w:val="single" w:sz="4" w:space="0" w:color="auto"/>
            </w:tcBorders>
          </w:tcPr>
          <w:p w14:paraId="4F3CC3F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XDND</w:t>
            </w:r>
          </w:p>
        </w:tc>
        <w:tc>
          <w:tcPr>
            <w:tcW w:w="1170" w:type="dxa"/>
            <w:tcBorders>
              <w:top w:val="single" w:sz="4" w:space="0" w:color="auto"/>
              <w:left w:val="single" w:sz="4" w:space="0" w:color="auto"/>
              <w:bottom w:val="single" w:sz="4" w:space="0" w:color="auto"/>
              <w:right w:val="single" w:sz="4" w:space="0" w:color="auto"/>
            </w:tcBorders>
          </w:tcPr>
          <w:p w14:paraId="69364C44"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Aparat</w:t>
            </w:r>
          </w:p>
        </w:tc>
        <w:tc>
          <w:tcPr>
            <w:tcW w:w="1170" w:type="dxa"/>
            <w:tcBorders>
              <w:top w:val="single" w:sz="4" w:space="0" w:color="auto"/>
              <w:left w:val="single" w:sz="4" w:space="0" w:color="auto"/>
              <w:bottom w:val="single" w:sz="4" w:space="0" w:color="auto"/>
              <w:right w:val="single" w:sz="4" w:space="0" w:color="auto"/>
            </w:tcBorders>
          </w:tcPr>
          <w:p w14:paraId="6318CABB"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ASCO üzrə cəmi</w:t>
            </w:r>
          </w:p>
        </w:tc>
      </w:tr>
      <w:tr w:rsidR="00220CDD" w:rsidRPr="00203DB6" w14:paraId="5EF5F82B" w14:textId="77777777" w:rsidTr="00ED4FB8">
        <w:tc>
          <w:tcPr>
            <w:tcW w:w="550" w:type="dxa"/>
            <w:tcBorders>
              <w:top w:val="single" w:sz="4" w:space="0" w:color="auto"/>
              <w:left w:val="single" w:sz="4" w:space="0" w:color="auto"/>
              <w:bottom w:val="single" w:sz="4" w:space="0" w:color="auto"/>
              <w:right w:val="single" w:sz="4" w:space="0" w:color="auto"/>
            </w:tcBorders>
          </w:tcPr>
          <w:p w14:paraId="5EB2B83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2230" w:type="dxa"/>
            <w:tcBorders>
              <w:top w:val="single" w:sz="4" w:space="0" w:color="auto"/>
              <w:left w:val="single" w:sz="4" w:space="0" w:color="auto"/>
              <w:bottom w:val="single" w:sz="4" w:space="0" w:color="auto"/>
              <w:right w:val="single" w:sz="4" w:space="0" w:color="auto"/>
            </w:tcBorders>
          </w:tcPr>
          <w:p w14:paraId="0951664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12CC8A68"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Weeder – Root - 150</w:t>
            </w:r>
          </w:p>
        </w:tc>
        <w:tc>
          <w:tcPr>
            <w:tcW w:w="871" w:type="dxa"/>
            <w:tcBorders>
              <w:top w:val="single" w:sz="4" w:space="0" w:color="auto"/>
              <w:left w:val="single" w:sz="4" w:space="0" w:color="auto"/>
              <w:bottom w:val="single" w:sz="4" w:space="0" w:color="auto"/>
              <w:right w:val="single" w:sz="4" w:space="0" w:color="auto"/>
            </w:tcBorders>
          </w:tcPr>
          <w:p w14:paraId="4BE67380"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62E9C66C"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c>
          <w:tcPr>
            <w:tcW w:w="1170" w:type="dxa"/>
            <w:tcBorders>
              <w:top w:val="single" w:sz="4" w:space="0" w:color="auto"/>
              <w:left w:val="single" w:sz="4" w:space="0" w:color="auto"/>
              <w:bottom w:val="single" w:sz="4" w:space="0" w:color="auto"/>
              <w:right w:val="single" w:sz="4" w:space="0" w:color="auto"/>
            </w:tcBorders>
          </w:tcPr>
          <w:p w14:paraId="3D6DFDAB"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w:t>
            </w:r>
          </w:p>
        </w:tc>
        <w:tc>
          <w:tcPr>
            <w:tcW w:w="1170" w:type="dxa"/>
            <w:tcBorders>
              <w:top w:val="single" w:sz="4" w:space="0" w:color="auto"/>
              <w:left w:val="single" w:sz="4" w:space="0" w:color="auto"/>
              <w:bottom w:val="single" w:sz="4" w:space="0" w:color="auto"/>
              <w:right w:val="single" w:sz="4" w:space="0" w:color="auto"/>
            </w:tcBorders>
          </w:tcPr>
          <w:p w14:paraId="3FA95A3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eastAsia="MS Mincho" w:hAnsi="Palatino Linotype" w:cs="Arial"/>
              </w:rPr>
              <w:t>4</w:t>
            </w:r>
          </w:p>
        </w:tc>
      </w:tr>
      <w:tr w:rsidR="00220CDD" w:rsidRPr="00203DB6" w14:paraId="3552256D" w14:textId="77777777" w:rsidTr="00ED4FB8">
        <w:tc>
          <w:tcPr>
            <w:tcW w:w="550" w:type="dxa"/>
            <w:tcBorders>
              <w:top w:val="single" w:sz="4" w:space="0" w:color="auto"/>
              <w:left w:val="single" w:sz="4" w:space="0" w:color="auto"/>
              <w:bottom w:val="single" w:sz="4" w:space="0" w:color="auto"/>
              <w:right w:val="single" w:sz="4" w:space="0" w:color="auto"/>
            </w:tcBorders>
          </w:tcPr>
          <w:p w14:paraId="1D3E78D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w:t>
            </w:r>
          </w:p>
        </w:tc>
        <w:tc>
          <w:tcPr>
            <w:tcW w:w="2230" w:type="dxa"/>
            <w:tcBorders>
              <w:top w:val="single" w:sz="4" w:space="0" w:color="auto"/>
              <w:left w:val="single" w:sz="4" w:space="0" w:color="auto"/>
              <w:bottom w:val="single" w:sz="4" w:space="0" w:color="auto"/>
              <w:right w:val="single" w:sz="4" w:space="0" w:color="auto"/>
            </w:tcBorders>
          </w:tcPr>
          <w:p w14:paraId="00ADB2AF"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22ACA55D"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ВЖУ-100, 70</w:t>
            </w:r>
          </w:p>
        </w:tc>
        <w:tc>
          <w:tcPr>
            <w:tcW w:w="871" w:type="dxa"/>
            <w:tcBorders>
              <w:top w:val="single" w:sz="4" w:space="0" w:color="auto"/>
              <w:left w:val="single" w:sz="4" w:space="0" w:color="auto"/>
              <w:bottom w:val="single" w:sz="4" w:space="0" w:color="auto"/>
              <w:right w:val="single" w:sz="4" w:space="0" w:color="auto"/>
            </w:tcBorders>
          </w:tcPr>
          <w:p w14:paraId="5450A6B2"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3517CBB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38</w:t>
            </w:r>
          </w:p>
        </w:tc>
        <w:tc>
          <w:tcPr>
            <w:tcW w:w="1170" w:type="dxa"/>
            <w:tcBorders>
              <w:top w:val="single" w:sz="4" w:space="0" w:color="auto"/>
              <w:left w:val="single" w:sz="4" w:space="0" w:color="auto"/>
              <w:bottom w:val="single" w:sz="4" w:space="0" w:color="auto"/>
              <w:right w:val="single" w:sz="4" w:space="0" w:color="auto"/>
            </w:tcBorders>
          </w:tcPr>
          <w:p w14:paraId="6CEE69B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1</w:t>
            </w:r>
          </w:p>
        </w:tc>
        <w:tc>
          <w:tcPr>
            <w:tcW w:w="1170" w:type="dxa"/>
            <w:tcBorders>
              <w:top w:val="single" w:sz="4" w:space="0" w:color="auto"/>
              <w:left w:val="single" w:sz="4" w:space="0" w:color="auto"/>
              <w:bottom w:val="single" w:sz="4" w:space="0" w:color="auto"/>
              <w:right w:val="single" w:sz="4" w:space="0" w:color="auto"/>
            </w:tcBorders>
          </w:tcPr>
          <w:p w14:paraId="11599913"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39</w:t>
            </w:r>
          </w:p>
        </w:tc>
      </w:tr>
      <w:tr w:rsidR="00220CDD" w:rsidRPr="00203DB6" w14:paraId="402D1383" w14:textId="77777777" w:rsidTr="00ED4FB8">
        <w:tc>
          <w:tcPr>
            <w:tcW w:w="550" w:type="dxa"/>
            <w:tcBorders>
              <w:top w:val="single" w:sz="4" w:space="0" w:color="auto"/>
              <w:left w:val="single" w:sz="4" w:space="0" w:color="auto"/>
              <w:bottom w:val="single" w:sz="4" w:space="0" w:color="auto"/>
              <w:right w:val="single" w:sz="4" w:space="0" w:color="auto"/>
            </w:tcBorders>
          </w:tcPr>
          <w:p w14:paraId="2B7290EE"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3</w:t>
            </w:r>
          </w:p>
        </w:tc>
        <w:tc>
          <w:tcPr>
            <w:tcW w:w="2230" w:type="dxa"/>
            <w:tcBorders>
              <w:top w:val="single" w:sz="4" w:space="0" w:color="auto"/>
              <w:left w:val="single" w:sz="4" w:space="0" w:color="auto"/>
              <w:bottom w:val="single" w:sz="4" w:space="0" w:color="auto"/>
              <w:right w:val="single" w:sz="4" w:space="0" w:color="auto"/>
            </w:tcBorders>
          </w:tcPr>
          <w:p w14:paraId="652EB521" w14:textId="77777777" w:rsidR="00220CDD" w:rsidRPr="00203DB6" w:rsidRDefault="00220CDD" w:rsidP="00ED4FB8">
            <w:pPr>
              <w:spacing w:line="360" w:lineRule="auto"/>
              <w:rPr>
                <w:rFonts w:ascii="Palatino Linotype" w:eastAsia="MS Mincho" w:hAnsi="Palatino Linotype" w:cs="Arial"/>
                <w:lang w:val="az-Latn-AZ"/>
              </w:rPr>
            </w:pPr>
            <w:r w:rsidRPr="00203DB6">
              <w:rPr>
                <w:rFonts w:ascii="Palatino Linotype" w:eastAsia="MS Mincho" w:hAnsi="Palatino Linotype" w:cs="Arial"/>
                <w:lang w:val="az-Latn-AZ"/>
              </w:rPr>
              <w:t>Mexaniki yanacaq sayqacı</w:t>
            </w:r>
          </w:p>
        </w:tc>
        <w:tc>
          <w:tcPr>
            <w:tcW w:w="2572" w:type="dxa"/>
            <w:tcBorders>
              <w:top w:val="single" w:sz="4" w:space="0" w:color="auto"/>
              <w:left w:val="single" w:sz="4" w:space="0" w:color="auto"/>
              <w:bottom w:val="single" w:sz="4" w:space="0" w:color="auto"/>
              <w:right w:val="single" w:sz="4" w:space="0" w:color="auto"/>
            </w:tcBorders>
          </w:tcPr>
          <w:p w14:paraId="4BE79572" w14:textId="77777777" w:rsidR="00220CDD" w:rsidRPr="00203DB6" w:rsidRDefault="00220CDD" w:rsidP="00ED4FB8">
            <w:pPr>
              <w:spacing w:line="360" w:lineRule="auto"/>
              <w:jc w:val="center"/>
              <w:rPr>
                <w:rFonts w:ascii="Palatino Linotype" w:eastAsia="MS Mincho" w:hAnsi="Palatino Linotype" w:cs="Arial"/>
              </w:rPr>
            </w:pPr>
            <w:r w:rsidRPr="00203DB6">
              <w:rPr>
                <w:rFonts w:ascii="Palatino Linotype" w:hAnsi="Palatino Linotype" w:cs="Arial"/>
              </w:rPr>
              <w:t>ШЖУ-40</w:t>
            </w:r>
          </w:p>
        </w:tc>
        <w:tc>
          <w:tcPr>
            <w:tcW w:w="871" w:type="dxa"/>
            <w:tcBorders>
              <w:top w:val="single" w:sz="4" w:space="0" w:color="auto"/>
              <w:left w:val="single" w:sz="4" w:space="0" w:color="auto"/>
              <w:bottom w:val="single" w:sz="4" w:space="0" w:color="auto"/>
              <w:right w:val="single" w:sz="4" w:space="0" w:color="auto"/>
            </w:tcBorders>
          </w:tcPr>
          <w:p w14:paraId="0E5D03D1" w14:textId="77777777" w:rsidR="00220CDD" w:rsidRPr="00203DB6" w:rsidRDefault="00220CDD" w:rsidP="00ED4FB8">
            <w:pPr>
              <w:rPr>
                <w:rFonts w:ascii="Palatino Linotype" w:hAnsi="Palatino Linotype"/>
              </w:rPr>
            </w:pPr>
            <w:r w:rsidRPr="00203DB6">
              <w:rPr>
                <w:rFonts w:ascii="Palatino Linotype" w:eastAsia="MS Mincho" w:hAnsi="Palatino Linotype" w:cs="Arial"/>
                <w:lang w:val="az-Latn-AZ"/>
              </w:rPr>
              <w:t>ədəd</w:t>
            </w:r>
          </w:p>
        </w:tc>
        <w:tc>
          <w:tcPr>
            <w:tcW w:w="1170" w:type="dxa"/>
            <w:tcBorders>
              <w:top w:val="single" w:sz="4" w:space="0" w:color="auto"/>
              <w:left w:val="single" w:sz="4" w:space="0" w:color="auto"/>
              <w:bottom w:val="single" w:sz="4" w:space="0" w:color="auto"/>
              <w:right w:val="single" w:sz="4" w:space="0" w:color="auto"/>
            </w:tcBorders>
          </w:tcPr>
          <w:p w14:paraId="216834C1"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c>
          <w:tcPr>
            <w:tcW w:w="1170" w:type="dxa"/>
            <w:tcBorders>
              <w:top w:val="single" w:sz="4" w:space="0" w:color="auto"/>
              <w:left w:val="single" w:sz="4" w:space="0" w:color="auto"/>
              <w:bottom w:val="single" w:sz="4" w:space="0" w:color="auto"/>
              <w:right w:val="single" w:sz="4" w:space="0" w:color="auto"/>
            </w:tcBorders>
          </w:tcPr>
          <w:p w14:paraId="35BCA30F"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w:t>
            </w:r>
          </w:p>
        </w:tc>
        <w:tc>
          <w:tcPr>
            <w:tcW w:w="1170" w:type="dxa"/>
            <w:tcBorders>
              <w:top w:val="single" w:sz="4" w:space="0" w:color="auto"/>
              <w:left w:val="single" w:sz="4" w:space="0" w:color="auto"/>
              <w:bottom w:val="single" w:sz="4" w:space="0" w:color="auto"/>
              <w:right w:val="single" w:sz="4" w:space="0" w:color="auto"/>
            </w:tcBorders>
          </w:tcPr>
          <w:p w14:paraId="20C85336" w14:textId="77777777" w:rsidR="00220CDD" w:rsidRPr="00203DB6" w:rsidRDefault="00220CDD" w:rsidP="00ED4FB8">
            <w:pPr>
              <w:spacing w:line="360" w:lineRule="auto"/>
              <w:jc w:val="center"/>
              <w:rPr>
                <w:rFonts w:ascii="Palatino Linotype" w:eastAsia="MS Mincho" w:hAnsi="Palatino Linotype" w:cs="Arial"/>
                <w:lang w:val="az-Latn-AZ"/>
              </w:rPr>
            </w:pPr>
            <w:r w:rsidRPr="00203DB6">
              <w:rPr>
                <w:rFonts w:ascii="Palatino Linotype" w:eastAsia="MS Mincho" w:hAnsi="Palatino Linotype" w:cs="Arial"/>
                <w:lang w:val="az-Latn-AZ"/>
              </w:rPr>
              <w:t>23</w:t>
            </w:r>
          </w:p>
        </w:tc>
      </w:tr>
    </w:tbl>
    <w:p w14:paraId="1C525AB7" w14:textId="77777777" w:rsidR="00220CDD" w:rsidRDefault="00220CDD" w:rsidP="00220CDD">
      <w:pPr>
        <w:rPr>
          <w:rFonts w:ascii="Arial" w:hAnsi="Arial" w:cs="Arial"/>
          <w:b/>
          <w:lang w:val="az-Latn-AZ"/>
        </w:rPr>
      </w:pPr>
    </w:p>
    <w:p w14:paraId="5BC46C75" w14:textId="77777777" w:rsidR="00220CDD" w:rsidRDefault="00220CDD" w:rsidP="00993E0B">
      <w:pPr>
        <w:rPr>
          <w:rFonts w:ascii="Arial" w:hAnsi="Arial" w:cs="Arial"/>
          <w:b/>
          <w:sz w:val="24"/>
          <w:szCs w:val="24"/>
          <w:lang w:val="az-Latn-AZ"/>
        </w:rPr>
      </w:pPr>
    </w:p>
    <w:p w14:paraId="376AFC35" w14:textId="77777777" w:rsidR="00220CDD" w:rsidRDefault="00220CDD" w:rsidP="00993E0B">
      <w:pPr>
        <w:rPr>
          <w:rFonts w:ascii="Arial" w:hAnsi="Arial" w:cs="Arial"/>
          <w:b/>
          <w:sz w:val="24"/>
          <w:szCs w:val="24"/>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1346443D"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“Nümunəvi Qurğu” stendi, təmir sahəsi, istehsalat laboratoriyası,sınaq avadanlıqları və sınaq avadanlıqlarının sənədləri (sertifikat, şəhadətnamə və ya attestat) olmalıdır.</w:t>
      </w:r>
    </w:p>
    <w:p w14:paraId="09B48173" w14:textId="77777777" w:rsidR="00220CDD" w:rsidRPr="00E2250A" w:rsidRDefault="00220CDD" w:rsidP="00220CDD">
      <w:pPr>
        <w:pStyle w:val="ListParagraph"/>
        <w:numPr>
          <w:ilvl w:val="0"/>
          <w:numId w:val="14"/>
        </w:numPr>
        <w:spacing w:after="0" w:line="240" w:lineRule="auto"/>
        <w:jc w:val="both"/>
        <w:rPr>
          <w:rFonts w:ascii="Arial" w:hAnsi="Arial" w:cs="Arial"/>
          <w:b/>
          <w:lang w:val="az-Latn-AZ"/>
        </w:rPr>
      </w:pPr>
      <w:r w:rsidRPr="00E2250A">
        <w:rPr>
          <w:rFonts w:ascii="Arial" w:hAnsi="Arial" w:cs="Arial"/>
          <w:lang w:val="az-Latn-AZ"/>
        </w:rPr>
        <w:t>Subpodratçı cəlb etməklə iştirak etmək qəbul edilmir.</w:t>
      </w:r>
    </w:p>
    <w:p w14:paraId="6CD6CF79" w14:textId="77777777" w:rsidR="00220CDD" w:rsidRPr="00E2250A" w:rsidRDefault="00220CDD" w:rsidP="00220CDD">
      <w:pPr>
        <w:pStyle w:val="ListParagraph"/>
        <w:numPr>
          <w:ilvl w:val="0"/>
          <w:numId w:val="14"/>
        </w:numPr>
        <w:spacing w:after="160" w:line="259" w:lineRule="auto"/>
        <w:jc w:val="both"/>
        <w:rPr>
          <w:rFonts w:ascii="Arial" w:hAnsi="Arial" w:cs="Arial"/>
          <w:b/>
          <w:lang w:val="az-Latn-AZ"/>
        </w:rPr>
      </w:pPr>
      <w:r>
        <w:rPr>
          <w:rFonts w:ascii="Arial" w:hAnsi="Arial" w:cs="Arial"/>
          <w:lang w:val="az-Latn-AZ"/>
        </w:rPr>
        <w:t>Yanacaq və yağ</w:t>
      </w:r>
      <w:r w:rsidRPr="00E2250A">
        <w:rPr>
          <w:rFonts w:ascii="Arial" w:hAnsi="Arial" w:cs="Arial"/>
          <w:lang w:val="az-Latn-AZ"/>
        </w:rPr>
        <w:t xml:space="preserve"> təmiri, möhürlənməsi, kalibrlənməsi və yoxlanılması işlərini həyata keçirən müəssisənin işçilərinin bu işləri həyata keçirmək üçün səriştəliyini təsdiq edən sənəd olmalıdır.</w:t>
      </w:r>
    </w:p>
    <w:p w14:paraId="07E245BA"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sidRPr="00E2250A">
        <w:rPr>
          <w:rFonts w:ascii="Arial" w:hAnsi="Arial" w:cs="Arial"/>
          <w:lang w:val="az-Latn-AZ"/>
        </w:rPr>
        <w:t>Yana</w:t>
      </w:r>
      <w:r>
        <w:rPr>
          <w:rFonts w:ascii="Arial" w:hAnsi="Arial" w:cs="Arial"/>
          <w:lang w:val="az-Latn-AZ"/>
        </w:rPr>
        <w:t xml:space="preserve">caq və yağ </w:t>
      </w:r>
      <w:r w:rsidRPr="00E2250A">
        <w:rPr>
          <w:rFonts w:ascii="Arial" w:hAnsi="Arial" w:cs="Arial"/>
          <w:lang w:val="az-Latn-AZ"/>
        </w:rPr>
        <w:t xml:space="preserve"> sayqaclarının  kalibrlənməsi və möhürlənməsi işlərini həyata keçirən müəssisənin  və ya cəlb edilmiş müəssisənin “Azərbaycan Akkreditasiya Mərkəzi” PHŞ tərəfindən AZS ISO/IEC 17025:2020 normativ sənədinə uyğun ölçmə vasitələrinin yoxlanılması və kalibrlənməsi laboratoriyası kimi akkreditasiya attestatına və sahəsi sənədlərinə malik olmalıdır.</w:t>
      </w:r>
    </w:p>
    <w:p w14:paraId="0E99B249" w14:textId="77777777" w:rsidR="00220CDD" w:rsidRPr="00E2250A" w:rsidRDefault="00220CDD" w:rsidP="00220CDD">
      <w:pPr>
        <w:pStyle w:val="ListParagraph"/>
        <w:numPr>
          <w:ilvl w:val="0"/>
          <w:numId w:val="15"/>
        </w:numPr>
        <w:spacing w:after="160" w:line="259" w:lineRule="auto"/>
        <w:jc w:val="both"/>
        <w:rPr>
          <w:rFonts w:ascii="Arial" w:hAnsi="Arial" w:cs="Arial"/>
          <w:b/>
          <w:lang w:val="az-Latn-AZ"/>
        </w:rPr>
      </w:pPr>
      <w:r>
        <w:rPr>
          <w:rFonts w:ascii="Arial" w:hAnsi="Arial" w:cs="Arial"/>
          <w:lang w:val="az-Latn-AZ"/>
        </w:rPr>
        <w:t xml:space="preserve">Yanacaq və yağ </w:t>
      </w:r>
      <w:r w:rsidRPr="00E2250A">
        <w:rPr>
          <w:rFonts w:ascii="Arial" w:hAnsi="Arial" w:cs="Arial"/>
          <w:lang w:val="az-Latn-AZ"/>
        </w:rPr>
        <w:t xml:space="preserve"> sayğaclarının təmiri, möhürlənməsi, kalibrlənməsi və yoxlanılması işlərini həyata keçirən müəssisənin AZS ISO 9001, AZS ISO 14001, AZS ISO 45001 idarəetmə sistemi normativ sənədlərinə uyğunluğunu təsdiq edən sertifikatlara malik olmalıdır. </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33C9CD86" w14:textId="77777777" w:rsidR="00220CDD" w:rsidRDefault="00220CDD" w:rsidP="00993E0B">
      <w:pPr>
        <w:jc w:val="center"/>
        <w:rPr>
          <w:rFonts w:ascii="Arial" w:hAnsi="Arial" w:cs="Arial"/>
          <w:b/>
          <w:sz w:val="20"/>
          <w:szCs w:val="20"/>
          <w:lang w:val="az-Latn-AZ"/>
        </w:rPr>
      </w:pPr>
    </w:p>
    <w:p w14:paraId="5F426035" w14:textId="5FDE565C"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652489A"/>
    <w:multiLevelType w:val="hybridMultilevel"/>
    <w:tmpl w:val="12B6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321B2"/>
    <w:rsid w:val="0017065D"/>
    <w:rsid w:val="00195407"/>
    <w:rsid w:val="001A678A"/>
    <w:rsid w:val="001B0549"/>
    <w:rsid w:val="001C59F8"/>
    <w:rsid w:val="001E08AF"/>
    <w:rsid w:val="00220CDD"/>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1699</Words>
  <Characters>9687</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16</cp:revision>
  <dcterms:created xsi:type="dcterms:W3CDTF">2021-09-20T05:58:00Z</dcterms:created>
  <dcterms:modified xsi:type="dcterms:W3CDTF">2023-12-15T04:28:00Z</dcterms:modified>
</cp:coreProperties>
</file>