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75A9C77C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D706F7">
        <w:rPr>
          <w:rFonts w:ascii="Arial" w:hAnsi="Arial" w:cs="Arial"/>
          <w:b/>
          <w:sz w:val="24"/>
          <w:szCs w:val="24"/>
          <w:lang w:val="az-Latn-AZ" w:eastAsia="ru-RU"/>
        </w:rPr>
        <w:t>AM103</w:t>
      </w:r>
      <w:r w:rsidR="00EF131A">
        <w:rPr>
          <w:rFonts w:ascii="Arial" w:hAnsi="Arial" w:cs="Arial"/>
          <w:b/>
          <w:sz w:val="24"/>
          <w:szCs w:val="24"/>
          <w:lang w:val="az-Latn-AZ" w:eastAsia="ru-RU"/>
        </w:rPr>
        <w:t>/2023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706F7">
        <w:rPr>
          <w:rFonts w:ascii="Arial" w:hAnsi="Arial" w:cs="Arial"/>
          <w:b/>
          <w:color w:val="000000"/>
          <w:sz w:val="24"/>
          <w:szCs w:val="24"/>
          <w:lang w:val="az-Latn-AZ"/>
        </w:rPr>
        <w:t>10</w:t>
      </w:r>
      <w:r w:rsidR="00B55421">
        <w:rPr>
          <w:rFonts w:ascii="Arial" w:hAnsi="Arial" w:cs="Arial"/>
          <w:b/>
          <w:color w:val="000000"/>
          <w:sz w:val="24"/>
          <w:szCs w:val="24"/>
          <w:lang w:val="az-Latn-AZ"/>
        </w:rPr>
        <w:t>.08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EF131A">
        <w:rPr>
          <w:rFonts w:ascii="Arial" w:hAnsi="Arial" w:cs="Arial"/>
          <w:b/>
          <w:color w:val="000000"/>
          <w:sz w:val="24"/>
          <w:szCs w:val="24"/>
          <w:lang w:val="az-Latn-AZ"/>
        </w:rPr>
        <w:t>3-cü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tarixdə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>şirkə</w:t>
      </w:r>
      <w:r w:rsidR="00EE78A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tin balansında olan </w:t>
      </w:r>
      <w:r w:rsidR="00D706F7" w:rsidRPr="00D706F7">
        <w:rPr>
          <w:rFonts w:ascii="Arial" w:hAnsi="Arial" w:cs="Arial"/>
          <w:b/>
          <w:color w:val="000000"/>
          <w:sz w:val="24"/>
          <w:szCs w:val="24"/>
          <w:lang w:val="az-Latn-AZ"/>
        </w:rPr>
        <w:t>“Atlet-8”, “Vixr-8”, “E.Xalıqov”, “Nefteqaz-62”, “Nefteqaz-64”, “G.Əsgərova”, “V.Seyidov”, “Atlet-24” gəmilərinin Sulzer 16AV25/30, Sulzer 6ZL40/48, Sulzer 16ASV25D baş və Sulzer 6AL20/24 köməkçi mühərriklərin</w:t>
      </w:r>
      <w:r w:rsidR="00D706F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15F0D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>ehtiyat hissələrinin</w:t>
      </w:r>
      <w:r w:rsidR="005E77E8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81CD9">
        <w:rPr>
          <w:rFonts w:ascii="Arial" w:hAnsi="Arial" w:cs="Arial"/>
          <w:b/>
          <w:color w:val="000000"/>
          <w:sz w:val="24"/>
          <w:szCs w:val="24"/>
          <w:lang w:val="az-Latn-AZ"/>
        </w:rPr>
        <w:t>satınalınması 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D706F7" w14:paraId="5A8A6EA7" w14:textId="77777777" w:rsidTr="00D706F7">
        <w:trPr>
          <w:trHeight w:hRule="exact" w:val="166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3F08F992" w:rsidR="009240EB" w:rsidRPr="00D706F7" w:rsidRDefault="00D706F7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D706F7">
              <w:rPr>
                <w:rFonts w:ascii="Arial" w:hAnsi="Arial" w:cs="Arial"/>
                <w:b/>
                <w:color w:val="000000"/>
                <w:szCs w:val="24"/>
                <w:lang w:val="az-Latn-AZ"/>
              </w:rPr>
              <w:t>“Atlet-8”, “Vixr-8”, “E.Xalıqov”, “Nefteqaz-62”, “Nefteqaz-64”, “G.Əsgərova”, “V.Seyidov”, “Atlet-24” gəmilərinin Sulzer 16AV25/30, Sulzer 6ZL40/48, Sulzer 16ASV25D baş və Sulzer 6AL20/24 köməkçi mühərriklərin ehtiyat hissələrinin satınalınması</w:t>
            </w:r>
          </w:p>
        </w:tc>
      </w:tr>
      <w:tr w:rsidR="009240EB" w:rsidRPr="00D706F7" w14:paraId="4B50E8D3" w14:textId="77777777" w:rsidTr="00191ADB">
        <w:trPr>
          <w:trHeight w:hRule="exact" w:val="70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76F2E5" w14:textId="56F925C5" w:rsidR="00305DB4" w:rsidRPr="00D706F7" w:rsidRDefault="00D706F7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D706F7">
              <w:rPr>
                <w:rFonts w:ascii="Arial" w:hAnsi="Arial" w:cs="Arial"/>
                <w:b/>
                <w:lang w:val="az-Latn-AZ" w:eastAsia="ru-RU"/>
              </w:rPr>
              <w:t>“CASPİAN ENGİNEERİNG TECHNOLOGY UNİTED LİMİTED" Şirkətinin Azərbaycan Respubl</w:t>
            </w:r>
            <w:bookmarkStart w:id="0" w:name="_GoBack"/>
            <w:bookmarkEnd w:id="0"/>
            <w:r w:rsidRPr="00D706F7">
              <w:rPr>
                <w:rFonts w:ascii="Arial" w:hAnsi="Arial" w:cs="Arial"/>
                <w:b/>
                <w:lang w:val="az-Latn-AZ" w:eastAsia="ru-RU"/>
              </w:rPr>
              <w:t>ikasındakı Nümayəndəliyi</w:t>
            </w:r>
          </w:p>
        </w:tc>
      </w:tr>
      <w:tr w:rsidR="009240EB" w:rsidRPr="00B55421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6BD287D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BC12A6" w:rsidRPr="00EF131A">
              <w:rPr>
                <w:rFonts w:ascii="Arial" w:hAnsi="Arial" w:cs="Arial"/>
                <w:b/>
                <w:lang w:val="az-Latn-AZ"/>
              </w:rPr>
              <w:t xml:space="preserve"> (ƏDV daxil)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68D820D9" w:rsidR="00305DB4" w:rsidRPr="00EF131A" w:rsidRDefault="00D706F7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205 335.93</w:t>
            </w:r>
            <w:r w:rsidR="00EB6316" w:rsidRPr="00EF131A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0A06A4" w:rsidRPr="00B55421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235F2CEE" w:rsidR="000A06A4" w:rsidRPr="00EF131A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Malların tədarük şərtlə</w:t>
            </w:r>
            <w:r w:rsidR="00BC12A6" w:rsidRPr="00EF131A">
              <w:rPr>
                <w:rFonts w:ascii="Arial" w:hAnsi="Arial" w:cs="Arial"/>
                <w:b/>
                <w:lang w:val="az-Latn-AZ"/>
              </w:rPr>
              <w:t>ri (incoterms</w:t>
            </w:r>
            <w:r w:rsidRPr="00EF131A">
              <w:rPr>
                <w:rFonts w:ascii="Arial" w:hAnsi="Arial" w:cs="Arial"/>
                <w:b/>
                <w:lang w:val="az-Latn-AZ"/>
              </w:rPr>
              <w:t>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EF131A" w:rsidRDefault="000A06A4" w:rsidP="00B81CD9">
            <w:pPr>
              <w:spacing w:after="0" w:line="240" w:lineRule="auto"/>
              <w:rPr>
                <w:rFonts w:ascii="Arial" w:hAnsi="Arial" w:cs="Arial"/>
                <w:b/>
                <w:lang w:val="az-Latn-AZ" w:eastAsia="ru-RU"/>
              </w:rPr>
            </w:pPr>
          </w:p>
          <w:p w14:paraId="2011D31E" w14:textId="311A1AE9" w:rsidR="000A06A4" w:rsidRPr="00EF131A" w:rsidRDefault="00AA7C97" w:rsidP="004D401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F131A">
              <w:rPr>
                <w:rFonts w:ascii="Arial" w:hAnsi="Arial" w:cs="Arial"/>
                <w:b/>
                <w:lang w:val="az-Latn-AZ" w:eastAsia="ru-RU"/>
              </w:rPr>
              <w:t>DDP</w:t>
            </w:r>
            <w:r w:rsidR="00122B50" w:rsidRPr="00EF131A">
              <w:rPr>
                <w:rFonts w:ascii="Arial" w:hAnsi="Arial" w:cs="Arial"/>
                <w:b/>
                <w:lang w:val="az-Latn-AZ" w:eastAsia="ru-RU"/>
              </w:rPr>
              <w:t xml:space="preserve"> Bakı</w:t>
            </w:r>
          </w:p>
        </w:tc>
      </w:tr>
      <w:tr w:rsidR="009240EB" w:rsidRPr="00B55421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1AFA4F2E" w:rsidR="009240EB" w:rsidRPr="00EF131A" w:rsidRDefault="00D706F7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10-12 həftə, 4 ay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15F0D"/>
    <w:rsid w:val="00122B50"/>
    <w:rsid w:val="001276E3"/>
    <w:rsid w:val="00165AC8"/>
    <w:rsid w:val="001669B5"/>
    <w:rsid w:val="00175C3A"/>
    <w:rsid w:val="001810C3"/>
    <w:rsid w:val="00181B22"/>
    <w:rsid w:val="00191ADB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4028"/>
    <w:rsid w:val="00325680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D4017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A7C97"/>
    <w:rsid w:val="00AD0187"/>
    <w:rsid w:val="00AE7EB7"/>
    <w:rsid w:val="00B51F18"/>
    <w:rsid w:val="00B55352"/>
    <w:rsid w:val="00B55421"/>
    <w:rsid w:val="00B81CD9"/>
    <w:rsid w:val="00B963DD"/>
    <w:rsid w:val="00B96ECA"/>
    <w:rsid w:val="00BC12A6"/>
    <w:rsid w:val="00BD022B"/>
    <w:rsid w:val="00C0472E"/>
    <w:rsid w:val="00C05FCE"/>
    <w:rsid w:val="00C17489"/>
    <w:rsid w:val="00C22874"/>
    <w:rsid w:val="00C3287D"/>
    <w:rsid w:val="00C8518E"/>
    <w:rsid w:val="00CB4822"/>
    <w:rsid w:val="00CC21A4"/>
    <w:rsid w:val="00CE75F4"/>
    <w:rsid w:val="00D23285"/>
    <w:rsid w:val="00D706F7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6316"/>
    <w:rsid w:val="00EB714D"/>
    <w:rsid w:val="00EE78A7"/>
    <w:rsid w:val="00EF131A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127</cp:revision>
  <dcterms:created xsi:type="dcterms:W3CDTF">2017-01-25T14:10:00Z</dcterms:created>
  <dcterms:modified xsi:type="dcterms:W3CDTF">2023-10-23T09:14:00Z</dcterms:modified>
</cp:coreProperties>
</file>