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15343A">
        <w:rPr>
          <w:rFonts w:ascii="Arial" w:hAnsi="Arial" w:cs="Arial"/>
          <w:b/>
          <w:lang w:val="az-Latn-AZ"/>
        </w:rPr>
        <w:t>FMV geyimlərin</w:t>
      </w:r>
      <w:r w:rsidR="0015343A">
        <w:rPr>
          <w:rFonts w:ascii="Arial" w:hAnsi="Arial" w:cs="Arial"/>
          <w:b/>
          <w:sz w:val="24"/>
          <w:szCs w:val="24"/>
          <w:lang w:val="az-Latn-AZ"/>
        </w:rPr>
        <w:t xml:space="preserve">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15343A">
        <w:rPr>
          <w:rFonts w:ascii="Arial" w:hAnsi="Arial" w:cs="Arial"/>
          <w:b/>
          <w:sz w:val="24"/>
          <w:szCs w:val="24"/>
          <w:lang w:val="az-Latn-AZ" w:eastAsia="ru-RU"/>
        </w:rPr>
        <w:t>AM043</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96F2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5343A">
              <w:rPr>
                <w:rFonts w:ascii="Arial" w:hAnsi="Arial" w:cs="Arial"/>
                <w:b/>
                <w:sz w:val="20"/>
                <w:szCs w:val="20"/>
                <w:lang w:val="az-Latn-AZ" w:eastAsia="ru-RU"/>
              </w:rPr>
              <w:t>06 avqust</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F15FA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96F2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496F2E">
              <w:rPr>
                <w:rFonts w:ascii="Arial" w:hAnsi="Arial" w:cs="Arial"/>
                <w:sz w:val="20"/>
                <w:szCs w:val="20"/>
                <w:lang w:val="az-Latn-AZ" w:eastAsia="ru-RU"/>
              </w:rPr>
              <w:t>1</w:t>
            </w:r>
            <w:r w:rsidR="00E42273">
              <w:rPr>
                <w:rFonts w:ascii="Arial" w:hAnsi="Arial" w:cs="Arial"/>
                <w:b/>
                <w:sz w:val="20"/>
                <w:szCs w:val="20"/>
                <w:lang w:val="az-Latn-AZ" w:eastAsia="ru-RU"/>
              </w:rPr>
              <w:t>50 (</w:t>
            </w:r>
            <w:r w:rsidR="00496F2E">
              <w:rPr>
                <w:rFonts w:ascii="Arial" w:hAnsi="Arial" w:cs="Arial"/>
                <w:b/>
                <w:sz w:val="20"/>
                <w:szCs w:val="20"/>
                <w:lang w:val="az-Latn-AZ" w:eastAsia="ru-RU"/>
              </w:rPr>
              <w:t>Yüz ə</w:t>
            </w:r>
            <w:bookmarkStart w:id="0" w:name="_GoBack"/>
            <w:bookmarkEnd w:id="0"/>
            <w:r w:rsidR="00E42273">
              <w:rPr>
                <w:rFonts w:ascii="Arial" w:hAnsi="Arial" w:cs="Arial"/>
                <w:b/>
                <w:sz w:val="20"/>
                <w:szCs w:val="20"/>
                <w:lang w:val="az-Latn-AZ" w:eastAsia="ru-RU"/>
              </w:rPr>
              <w:t>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96F2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96F2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5343A">
              <w:rPr>
                <w:rFonts w:ascii="Arial" w:hAnsi="Arial" w:cs="Arial"/>
                <w:sz w:val="20"/>
                <w:szCs w:val="20"/>
                <w:lang w:val="az-Latn-AZ" w:eastAsia="ru-RU"/>
              </w:rPr>
              <w:t>12</w:t>
            </w:r>
            <w:r w:rsidR="00E42273">
              <w:rPr>
                <w:rFonts w:ascii="Arial" w:hAnsi="Arial" w:cs="Arial"/>
                <w:sz w:val="20"/>
                <w:szCs w:val="20"/>
                <w:lang w:val="az-Latn-AZ" w:eastAsia="ru-RU"/>
              </w:rPr>
              <w:t xml:space="preserve"> avqust</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96F2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496F2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5343A">
              <w:rPr>
                <w:rFonts w:ascii="Arial" w:hAnsi="Arial" w:cs="Arial"/>
                <w:b/>
                <w:sz w:val="20"/>
                <w:szCs w:val="20"/>
                <w:lang w:val="az-Latn-AZ" w:eastAsia="ru-RU"/>
              </w:rPr>
              <w:t>13</w:t>
            </w:r>
            <w:r w:rsidR="007555CA">
              <w:rPr>
                <w:rFonts w:ascii="Arial" w:hAnsi="Arial" w:cs="Arial"/>
                <w:b/>
                <w:sz w:val="20"/>
                <w:szCs w:val="20"/>
                <w:lang w:val="az-Latn-AZ" w:eastAsia="ru-RU"/>
              </w:rPr>
              <w:t xml:space="preserve"> </w:t>
            </w:r>
            <w:r w:rsidR="00E42273">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96F2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9918" w:type="dxa"/>
        <w:tblLook w:val="04A0" w:firstRow="1" w:lastRow="0" w:firstColumn="1" w:lastColumn="0" w:noHBand="0" w:noVBand="1"/>
      </w:tblPr>
      <w:tblGrid>
        <w:gridCol w:w="593"/>
        <w:gridCol w:w="4364"/>
        <w:gridCol w:w="1134"/>
        <w:gridCol w:w="992"/>
        <w:gridCol w:w="2835"/>
      </w:tblGrid>
      <w:tr w:rsidR="0015343A" w:rsidRPr="00AD1396" w:rsidTr="0015343A">
        <w:trPr>
          <w:trHeight w:val="465"/>
        </w:trPr>
        <w:tc>
          <w:tcPr>
            <w:tcW w:w="593" w:type="dxa"/>
            <w:noWrap/>
            <w:hideMark/>
          </w:tcPr>
          <w:p w:rsidR="0015343A" w:rsidRPr="00AD1396" w:rsidRDefault="0015343A" w:rsidP="00946944">
            <w:pPr>
              <w:rPr>
                <w:rFonts w:ascii="Arial" w:hAnsi="Arial" w:cs="Arial"/>
                <w:sz w:val="20"/>
                <w:szCs w:val="20"/>
              </w:rPr>
            </w:pPr>
            <w:r w:rsidRPr="00AD1396">
              <w:rPr>
                <w:rFonts w:ascii="Arial" w:hAnsi="Arial" w:cs="Arial"/>
                <w:sz w:val="20"/>
                <w:szCs w:val="20"/>
              </w:rPr>
              <w:t>S/S</w:t>
            </w:r>
          </w:p>
        </w:tc>
        <w:tc>
          <w:tcPr>
            <w:tcW w:w="4364" w:type="dxa"/>
            <w:hideMark/>
          </w:tcPr>
          <w:p w:rsidR="0015343A" w:rsidRPr="00AD1396" w:rsidRDefault="0015343A" w:rsidP="00946944">
            <w:pPr>
              <w:rPr>
                <w:rFonts w:ascii="Arial" w:hAnsi="Arial" w:cs="Arial"/>
                <w:bCs/>
                <w:sz w:val="20"/>
                <w:szCs w:val="20"/>
                <w:lang w:val="az-Latn-AZ"/>
              </w:rPr>
            </w:pPr>
            <w:r w:rsidRPr="00AD1396">
              <w:rPr>
                <w:rFonts w:ascii="Arial" w:hAnsi="Arial" w:cs="Arial"/>
                <w:bCs/>
                <w:sz w:val="20"/>
                <w:szCs w:val="20"/>
              </w:rPr>
              <w:t>FM</w:t>
            </w:r>
            <w:r w:rsidRPr="00AD1396">
              <w:rPr>
                <w:rFonts w:ascii="Arial" w:hAnsi="Arial" w:cs="Arial"/>
                <w:bCs/>
                <w:sz w:val="20"/>
                <w:szCs w:val="20"/>
                <w:lang w:val="az-Latn-AZ"/>
              </w:rPr>
              <w:t>V –Gey</w:t>
            </w:r>
            <w:r>
              <w:rPr>
                <w:rFonts w:ascii="Arial" w:hAnsi="Arial" w:cs="Arial"/>
                <w:bCs/>
                <w:sz w:val="20"/>
                <w:szCs w:val="20"/>
                <w:lang w:val="az-Latn-AZ"/>
              </w:rPr>
              <w:t>i</w:t>
            </w:r>
            <w:r w:rsidRPr="00AD1396">
              <w:rPr>
                <w:rFonts w:ascii="Arial" w:hAnsi="Arial" w:cs="Arial"/>
                <w:bCs/>
                <w:sz w:val="20"/>
                <w:szCs w:val="20"/>
                <w:lang w:val="az-Latn-AZ"/>
              </w:rPr>
              <w:t>mlər</w:t>
            </w:r>
          </w:p>
        </w:tc>
        <w:tc>
          <w:tcPr>
            <w:tcW w:w="1134" w:type="dxa"/>
            <w:noWrap/>
            <w:hideMark/>
          </w:tcPr>
          <w:p w:rsidR="0015343A" w:rsidRPr="00AD1396" w:rsidRDefault="0015343A" w:rsidP="00946944">
            <w:pPr>
              <w:rPr>
                <w:rFonts w:ascii="Arial" w:hAnsi="Arial" w:cs="Arial"/>
                <w:sz w:val="20"/>
                <w:szCs w:val="20"/>
                <w:lang w:val="az-Latn-AZ"/>
              </w:rPr>
            </w:pPr>
            <w:r w:rsidRPr="00AD1396">
              <w:rPr>
                <w:rFonts w:ascii="Arial" w:hAnsi="Arial" w:cs="Arial"/>
                <w:sz w:val="20"/>
                <w:szCs w:val="20"/>
              </w:rPr>
              <w:t> </w:t>
            </w:r>
            <w:r w:rsidRPr="00AD1396">
              <w:rPr>
                <w:rFonts w:ascii="Arial" w:hAnsi="Arial" w:cs="Arial"/>
                <w:sz w:val="20"/>
                <w:szCs w:val="20"/>
                <w:lang w:val="az-Latn-AZ"/>
              </w:rPr>
              <w:t>Ölçü vahidi</w:t>
            </w:r>
          </w:p>
        </w:tc>
        <w:tc>
          <w:tcPr>
            <w:tcW w:w="992" w:type="dxa"/>
            <w:hideMark/>
          </w:tcPr>
          <w:p w:rsidR="0015343A" w:rsidRPr="00AD1396" w:rsidRDefault="0015343A" w:rsidP="00946944">
            <w:pPr>
              <w:rPr>
                <w:rFonts w:ascii="Arial" w:hAnsi="Arial" w:cs="Arial"/>
                <w:bCs/>
                <w:sz w:val="20"/>
                <w:szCs w:val="20"/>
                <w:lang w:val="az-Latn-AZ"/>
              </w:rPr>
            </w:pPr>
            <w:r w:rsidRPr="00AD1396">
              <w:rPr>
                <w:rFonts w:ascii="Arial" w:hAnsi="Arial" w:cs="Arial"/>
                <w:bCs/>
                <w:sz w:val="20"/>
                <w:szCs w:val="20"/>
              </w:rPr>
              <w:t> </w:t>
            </w:r>
            <w:r w:rsidRPr="00AD1396">
              <w:rPr>
                <w:rFonts w:ascii="Arial" w:hAnsi="Arial" w:cs="Arial"/>
                <w:bCs/>
                <w:sz w:val="20"/>
                <w:szCs w:val="20"/>
                <w:lang w:val="az-Latn-AZ"/>
              </w:rPr>
              <w:t>Sayı</w:t>
            </w:r>
          </w:p>
        </w:tc>
        <w:tc>
          <w:tcPr>
            <w:tcW w:w="2835" w:type="dxa"/>
          </w:tcPr>
          <w:p w:rsidR="0015343A" w:rsidRPr="0015343A" w:rsidRDefault="0015343A" w:rsidP="00946944">
            <w:pPr>
              <w:rPr>
                <w:rFonts w:ascii="Arial" w:hAnsi="Arial" w:cs="Arial"/>
                <w:bCs/>
                <w:sz w:val="20"/>
                <w:szCs w:val="20"/>
                <w:lang w:val="az-Latn-AZ"/>
              </w:rPr>
            </w:pPr>
            <w:r>
              <w:rPr>
                <w:rFonts w:ascii="Arial" w:hAnsi="Arial" w:cs="Arial"/>
                <w:bCs/>
                <w:sz w:val="20"/>
                <w:szCs w:val="20"/>
                <w:lang w:val="az-Latn-AZ"/>
              </w:rPr>
              <w:t>Sertfikat tələbi haqqında məlumat</w:t>
            </w:r>
          </w:p>
        </w:tc>
      </w:tr>
      <w:tr w:rsidR="0015343A" w:rsidRPr="00AD1396" w:rsidTr="0015343A">
        <w:trPr>
          <w:trHeight w:val="315"/>
        </w:trPr>
        <w:tc>
          <w:tcPr>
            <w:tcW w:w="593" w:type="dxa"/>
            <w:noWrap/>
            <w:hideMark/>
          </w:tcPr>
          <w:p w:rsidR="0015343A" w:rsidRPr="00AD1396" w:rsidRDefault="0015343A" w:rsidP="00946944">
            <w:pPr>
              <w:rPr>
                <w:rFonts w:ascii="Arial" w:hAnsi="Arial" w:cs="Arial"/>
                <w:sz w:val="20"/>
                <w:szCs w:val="20"/>
              </w:rPr>
            </w:pPr>
            <w:r w:rsidRPr="00AD1396">
              <w:rPr>
                <w:rFonts w:ascii="Arial" w:hAnsi="Arial" w:cs="Arial"/>
                <w:sz w:val="20"/>
                <w:szCs w:val="20"/>
              </w:rPr>
              <w:t>1</w:t>
            </w:r>
          </w:p>
        </w:tc>
        <w:tc>
          <w:tcPr>
            <w:tcW w:w="4364" w:type="dxa"/>
            <w:noWrap/>
            <w:hideMark/>
          </w:tcPr>
          <w:p w:rsidR="0015343A" w:rsidRPr="00AD1396" w:rsidRDefault="0015343A" w:rsidP="00946944">
            <w:pPr>
              <w:rPr>
                <w:rFonts w:ascii="Arial" w:hAnsi="Arial" w:cs="Arial"/>
                <w:sz w:val="20"/>
                <w:szCs w:val="20"/>
              </w:rPr>
            </w:pPr>
            <w:r w:rsidRPr="00AD1396">
              <w:rPr>
                <w:rFonts w:ascii="Arial" w:hAnsi="Arial" w:cs="Arial"/>
                <w:sz w:val="20"/>
                <w:szCs w:val="20"/>
              </w:rPr>
              <w:t>Kombinezon, rəngi: qırmızı,  ölçüsü:  44, standartı: EN 1149-5:2008</w:t>
            </w:r>
          </w:p>
        </w:tc>
        <w:tc>
          <w:tcPr>
            <w:tcW w:w="1134" w:type="dxa"/>
            <w:hideMark/>
          </w:tcPr>
          <w:p w:rsidR="0015343A" w:rsidRPr="00AD1396" w:rsidRDefault="0015343A" w:rsidP="00946944">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946944">
            <w:pPr>
              <w:jc w:val="right"/>
              <w:rPr>
                <w:rFonts w:ascii="Calibri" w:hAnsi="Calibri" w:cs="Calibri"/>
                <w:color w:val="000000"/>
                <w:sz w:val="20"/>
                <w:szCs w:val="20"/>
              </w:rPr>
            </w:pPr>
            <w:r w:rsidRPr="00AD1396">
              <w:rPr>
                <w:rFonts w:ascii="Calibri" w:hAnsi="Calibri" w:cs="Calibri"/>
                <w:color w:val="000000"/>
                <w:sz w:val="20"/>
                <w:szCs w:val="20"/>
              </w:rPr>
              <w:t>15</w:t>
            </w:r>
          </w:p>
        </w:tc>
        <w:tc>
          <w:tcPr>
            <w:tcW w:w="2835" w:type="dxa"/>
          </w:tcPr>
          <w:p w:rsidR="0015343A" w:rsidRPr="0015343A" w:rsidRDefault="0015343A" w:rsidP="00946944">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46,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604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48,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1130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50,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1170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52,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672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54,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566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56,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427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58,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356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60,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10</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62,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11</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64,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66,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rəngi: qırmızı,  ölçüsü:  68,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14</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42,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15</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44,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16</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46,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17</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48,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427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18</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50,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610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19</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52,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461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20</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54,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523</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21</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56,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260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22</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58,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154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23</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60,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108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24</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62,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25</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64,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26</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66,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27</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Kombinezon, rəngi: göy,  ölçüsü:  68, standartı: EN 1149-5:2008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28</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qaynaq işi üçün istiliyə  alova davamlı, Elektrik işləri üçün, ölçüsü: 46, standartı: EN ISO 11612:2015 (A1 B1 C1 E1 F1); EN ISO 11611:2015 Class 1 A1; EN 1149-5:2018; EN 13034+A1:2009 Type 6; EN 61482-1-1:2019; EN 61482-1-2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29</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qaynaq işi üçün istiliyə  alova davamlı, Elektrik işləri üçün, ölçüsü: 48, standartı: EN ISO 11612:2015 (A1 B1 C1 E1 F1); EN ISO 11611:2015 Class 1 A1; EN 1149-5:2018; EN 13034+A1:2009 Type 6; EN 61482-1-1:2019; EN 61482-1-2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30</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qaynaq işi üçün istiliyə  alova davamlı, Elektrik işləri üçün, ölçüsü: 50, standartı: EN ISO 11612:2015 (A1 B1 C1 E1 F1); EN ISO 11611:2015 Class 1 A1; EN 1149-5:2018; EN 13034+A1:2009 Type 6; EN 61482-1-1:2019; EN 61482-1-2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43</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31</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qaynaq işi üçün istiliyə  alova davamlı, Elektrik işləri üçün, ölçüsü: 52, standartı: EN ISO 11612:2015 (A1 B1 C1 E1 F1); EN ISO 11611:2015 Class 1 A1; EN 1149-5:2018; EN 13034+A1:2009 Type 6; EN 61482-1-1:2019; EN 61482-1-2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32</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qaynaq işi üçün istiliyə  alova davamlı, Elektrik işləri üçün, ölçüsü: 54, standartı: EN ISO 11612:2015 (A1 B1 C1 E1 F1); EN ISO 11611:2015 Class 1 A1; EN 1149-5:2018; EN 13034+A1:2009 Type 6; EN 61482-1-1:2019; EN 61482-1-2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33</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qaynaq işi üçün istiliyə  alova davamlı, Elektrik işləri üçün, ölçüsü: 56, standartı: EN ISO 11612:2015 (A1 B1 C1 E1 F1); EN ISO 11611:2015 Class 1 A1; EN 1149-5:2018; EN 13034+A1:2009 Type 6; EN 61482-1-1:2019; EN 61482-1-2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34</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qaynaq işi üçün istiliyə  alova davamlı, Elektrik işləri üçün, ölçüsü: 58, standartı: EN ISO 11612:2015 (A1 B1 C1 E1 F1); EN ISO 11611:2015 Class 1 A1; EN 1149-5:2018; EN 13034+A1:2009 Type 6; EN 61482-1-1:2019; EN 61482-1-2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35</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Kombinezon qaynaq işi üçün istiliyə  alova davamlı, Elektrik işləri üçün, ölçüsü: 60, standartı: EN ISO 11612:2015 (A1 B1 C1 E1 F1); EN ISO 11611:2015 Class 1 A1; EN 1149-5:2018; EN 13034+A1:2009 Type 6; EN 61482-1-1:2019; EN 61482-1-2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36</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40,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37</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42,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38</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44,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39</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46,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40</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48,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606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41</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50,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910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42</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52,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865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43</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54,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679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44</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56,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45</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58,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295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46</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60,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85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47</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62,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48</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64,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49</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66,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50</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68, standartı: EN 342:2004; EN 20471+A1:2016 Class 3; EN 1149-5:2008; EN 13034+A1:2009 Type 6; EN 343:2003+A1:2007 Class 3 Level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51</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Dəri önlük qaynaqçı üçün,standartı: EN ISO 11612:2015 (A1 B1 C1 E1 F1); EN ISO 11611:2015 Class 1 A1; EN 1149-5:2018; EN 61482-1-1:2019; EN 61482-1-2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255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standartı:48, EN 11611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standartı:50, EN 11611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54</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standartı:52, EN 11611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55</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standartı:54, EN 11611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56</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standartı:56, EN 11611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57</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Hündürlükdə yıxılma əleyhinə təhlükəsizlik geyimi, standartı: EN 361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58</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48,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59</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50,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60</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52,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61</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54,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62</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56,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63</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58,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64</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60,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65</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Plaş su keçirməyən, ölçüsü: XL, başlıqlı, standartı: EN11612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200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66</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Yüksək görüntülü jilet, rəngi: sarı, ölçüsü: XL, standartı: EN 20471+A1:2016 Class 2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117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67</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Yüksək görüntülü jilet, rəngi: narıncı, ölçüsü: XL,standartı: EN 20471+A1:2016 Class 2</w:t>
            </w:r>
            <w:r w:rsidRPr="00AD1396">
              <w:rPr>
                <w:rFonts w:ascii="Arial" w:hAnsi="Arial" w:cs="Arial"/>
                <w:bCs/>
                <w:sz w:val="20"/>
                <w:szCs w:val="20"/>
              </w:rPr>
              <w:t xml:space="preserve">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68</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“Seahorse” işçi xilasedici jilet, ölçüsü : XL, IACS tərəfindən təsdiq edilmiş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69</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Qum şırnağı işi ilə məşğul olanlar üçün xüsusi FMV dəsti ISO 14877:2002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70</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Rezin önlük Kimyavi maddələrlə işləmək üçün, standartı:  EN 14605:2005 Type 4 Class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206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71</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40,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42,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44,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74</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46,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75</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48,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76</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50,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1490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77</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52,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1170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78</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54,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690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79</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56,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298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80</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58,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160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81</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60,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62,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64,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84</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66,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85</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68,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86</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44,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87</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46,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88</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48,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89</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50,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90</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52,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91</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54,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56,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23</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58,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94</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60,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95</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Tibbi xalat,standartı: ISO 22610:2006,ölçüsü : 54,  GOST 12.4.132-83, GOST 12.4.131-83</w:t>
            </w:r>
          </w:p>
        </w:tc>
        <w:tc>
          <w:tcPr>
            <w:tcW w:w="1134" w:type="dxa"/>
            <w:noWrap/>
            <w:hideMark/>
          </w:tcPr>
          <w:p w:rsidR="0015343A" w:rsidRPr="00E8095D" w:rsidRDefault="0015343A" w:rsidP="0015343A">
            <w:pPr>
              <w:rPr>
                <w:rFonts w:ascii="Arial" w:hAnsi="Arial" w:cs="Arial"/>
                <w:sz w:val="20"/>
                <w:szCs w:val="20"/>
                <w:lang w:val="az-Latn-AZ"/>
              </w:rPr>
            </w:pPr>
            <w:r>
              <w:rPr>
                <w:rFonts w:ascii="Arial" w:hAnsi="Arial" w:cs="Arial"/>
                <w:sz w:val="20"/>
                <w:szCs w:val="20"/>
              </w:rPr>
              <w:t>Də</w:t>
            </w:r>
            <w:r>
              <w:rPr>
                <w:rFonts w:ascii="Arial" w:hAnsi="Arial" w:cs="Arial"/>
                <w:sz w:val="20"/>
                <w:szCs w:val="20"/>
                <w:lang w:val="az-Latn-AZ"/>
              </w:rPr>
              <w:t>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96</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Birdəfəlik kombinezon type 6 SiZE-ХL  EN 13034:2005/ГОСТ 12.4.259-2014; EN1149-5/ГОСТ Р ЕН 1149-5-2208/ГОСТ 12.4.175-88 в.1,в.3,с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34000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97</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Birdəfəlik kombinezon type 6 SiZE-ХХL  EN 13034:2005/ГОСТ 12.4.259-2014; EN1149-5/ГОСТ Р ЕН 1149-5-2208/ГОСТ 12.4.175-88 в.1,в.3,с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3877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98</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Turşuya davamlı kostyum, ölçüsü : XL, standartı: EN 13034: 2005+A1: 2009 TYPE 6</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5343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96F2E"/>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5AC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2273"/>
    <w:rsid w:val="00E43C56"/>
    <w:rsid w:val="00E56453"/>
    <w:rsid w:val="00EB36FA"/>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F1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3721</Words>
  <Characters>21215</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9</cp:revision>
  <dcterms:created xsi:type="dcterms:W3CDTF">2021-06-12T19:45:00Z</dcterms:created>
  <dcterms:modified xsi:type="dcterms:W3CDTF">2021-07-22T05:31:00Z</dcterms:modified>
</cp:coreProperties>
</file>